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26A" w:rsidRPr="00FE2185" w:rsidRDefault="0030426A" w:rsidP="0030426A">
      <w:pPr>
        <w:pStyle w:val="10"/>
      </w:pPr>
      <w:bookmarkStart w:id="0" w:name="_Toc210717848"/>
      <w:r w:rsidRPr="004B48A7">
        <w:br/>
      </w:r>
      <w:r w:rsidR="00EA4846" w:rsidRPr="00EA4846">
        <w:rPr>
          <w:spacing w:val="12"/>
        </w:rPr>
        <w:t xml:space="preserve">МОДЕЛИРОВАНИЕ ИНТЕГРАЛЬНЫХ СХЕМ ИСКУССТВЕННОГО ИНТЕЛЛЕКТА, УСТОЙЧИВОГО К РАДИАЦИИ </w:t>
      </w:r>
    </w:p>
    <w:p w:rsidR="0030426A" w:rsidRPr="004B48A7" w:rsidRDefault="00EA4846" w:rsidP="0030426A">
      <w:pPr>
        <w:pStyle w:val="2"/>
        <w:rPr>
          <w:szCs w:val="28"/>
        </w:rPr>
      </w:pPr>
      <w:bookmarkStart w:id="1" w:name="_Toc258235616"/>
      <w:bookmarkStart w:id="2" w:name="_Toc258254205"/>
      <w:r>
        <w:rPr>
          <w:szCs w:val="28"/>
        </w:rPr>
        <w:t>Волощенко П.Ю., Волощенко Ю.П.</w:t>
      </w:r>
      <w:r w:rsidR="00FE2185">
        <w:rPr>
          <w:szCs w:val="28"/>
        </w:rPr>
        <w:t xml:space="preserve"> </w:t>
      </w:r>
      <w:bookmarkEnd w:id="1"/>
      <w:bookmarkEnd w:id="2"/>
    </w:p>
    <w:p w:rsidR="007441AB" w:rsidRDefault="00EA4846" w:rsidP="0030426A">
      <w:pPr>
        <w:pStyle w:val="30"/>
      </w:pPr>
      <w:r>
        <w:t>Южный федеральный университет</w:t>
      </w:r>
    </w:p>
    <w:p w:rsidR="0030426A" w:rsidRPr="00144125" w:rsidRDefault="00EA4846" w:rsidP="00144125">
      <w:pPr>
        <w:pStyle w:val="40"/>
      </w:pPr>
      <w:r>
        <w:t>Таганрог</w:t>
      </w:r>
    </w:p>
    <w:p w:rsidR="0030426A" w:rsidRPr="00EA4846" w:rsidRDefault="00EA4846" w:rsidP="00144125">
      <w:pPr>
        <w:pStyle w:val="Email0"/>
        <w:rPr>
          <w:lang w:val="ru-RU"/>
        </w:rPr>
      </w:pPr>
      <w:proofErr w:type="spellStart"/>
      <w:r w:rsidRPr="00EA4846">
        <w:t>voloschenkoyup</w:t>
      </w:r>
      <w:proofErr w:type="spellEnd"/>
      <w:r w:rsidRPr="008E56FF">
        <w:rPr>
          <w:lang w:val="ru-RU"/>
        </w:rPr>
        <w:t>@</w:t>
      </w:r>
      <w:proofErr w:type="spellStart"/>
      <w:r w:rsidRPr="00EA4846">
        <w:t>sfedu</w:t>
      </w:r>
      <w:proofErr w:type="spellEnd"/>
      <w:r w:rsidRPr="008E56FF">
        <w:rPr>
          <w:lang w:val="ru-RU"/>
        </w:rPr>
        <w:t>.</w:t>
      </w:r>
      <w:proofErr w:type="spellStart"/>
      <w:r w:rsidRPr="00EA4846">
        <w:t>ru</w:t>
      </w:r>
      <w:proofErr w:type="spellEnd"/>
    </w:p>
    <w:p w:rsidR="009E7120" w:rsidRDefault="009A6A78" w:rsidP="009E7120">
      <w:pPr>
        <w:pStyle w:val="affff2"/>
      </w:pPr>
      <w:r w:rsidRPr="009A6A78">
        <w:t xml:space="preserve">Расчёт и конструирование бортового искусственного интеллекта (ИИ) космических летательных аппаратов требуют создания оригинальных типов вакуумных </w:t>
      </w:r>
      <w:proofErr w:type="spellStart"/>
      <w:r w:rsidRPr="009A6A78">
        <w:t>микротриодов</w:t>
      </w:r>
      <w:proofErr w:type="spellEnd"/>
      <w:r w:rsidRPr="009A6A78">
        <w:t xml:space="preserve"> аналоговых и цифровых интегральных схем (ИС), не подверженных экстремальному воздействию околоземного пространства, в первую очередь, ионизирующего излучения. Вместе с тем для проектирования радиационно-с</w:t>
      </w:r>
      <w:r>
        <w:t xml:space="preserve">тойких электронных компонентов </w:t>
      </w:r>
      <w:r w:rsidRPr="009A6A78">
        <w:t>(</w:t>
      </w:r>
      <w:proofErr w:type="gramStart"/>
      <w:r w:rsidRPr="009A6A78">
        <w:t>ЭК</w:t>
      </w:r>
      <w:proofErr w:type="gramEnd"/>
      <w:r w:rsidRPr="009A6A78">
        <w:t xml:space="preserve">) и определения технически обоснованных условий испытаний ИИ, необходимо применять аналитические и экспериментальные модели микроволнового оборудования, разработанные на кафедрах радиотехнической электроники и </w:t>
      </w:r>
      <w:proofErr w:type="spellStart"/>
      <w:r w:rsidRPr="009A6A78">
        <w:t>наноэлектроники</w:t>
      </w:r>
      <w:proofErr w:type="spellEnd"/>
      <w:r w:rsidRPr="009A6A78">
        <w:t xml:space="preserve">, электротехники и </w:t>
      </w:r>
      <w:proofErr w:type="spellStart"/>
      <w:r w:rsidRPr="009A6A78">
        <w:t>мехатроники</w:t>
      </w:r>
      <w:proofErr w:type="spellEnd"/>
      <w:r w:rsidRPr="009A6A78">
        <w:t xml:space="preserve"> ЮФУ. Подобные новые инженерные средства формируют отечественную методологию корректного технического синтеза вакуумных ИС (ВИС) методом неавтономных блоков и достоверного символьного анализа электромеханических процессов в системах </w:t>
      </w:r>
      <w:proofErr w:type="spellStart"/>
      <w:r w:rsidRPr="009A6A78">
        <w:t>микротриодов</w:t>
      </w:r>
      <w:proofErr w:type="spellEnd"/>
      <w:r w:rsidRPr="009A6A78">
        <w:t>, используемых в космосе, описание алгоритмов которых является  целью данного доклада.</w:t>
      </w:r>
    </w:p>
    <w:p w:rsidR="009A6A78" w:rsidRDefault="009A6A78" w:rsidP="009E7120">
      <w:pPr>
        <w:pStyle w:val="affff2"/>
      </w:pPr>
      <w:r w:rsidRPr="009A6A78">
        <w:t xml:space="preserve">Для пояснения методики теоретического исследования фрагмента конструкции ИС ИИ проведем электротехническое моделирование наведенного </w:t>
      </w:r>
      <w:proofErr w:type="spellStart"/>
      <w:r w:rsidRPr="009A6A78">
        <w:rPr>
          <w:i/>
        </w:rPr>
        <w:t>i</w:t>
      </w:r>
      <w:r w:rsidRPr="009A6A78">
        <w:rPr>
          <w:vertAlign w:val="subscript"/>
        </w:rPr>
        <w:t>нав</w:t>
      </w:r>
      <w:proofErr w:type="spellEnd"/>
      <w:r w:rsidRPr="009A6A78">
        <w:t>(</w:t>
      </w:r>
      <w:r w:rsidRPr="009A6A78">
        <w:rPr>
          <w:i/>
        </w:rPr>
        <w:t>P</w:t>
      </w:r>
      <w:r w:rsidRPr="009A6A78">
        <w:rPr>
          <w:vertAlign w:val="subscript"/>
        </w:rPr>
        <w:t>0</w:t>
      </w:r>
      <w:r w:rsidRPr="009A6A78">
        <w:t>,</w:t>
      </w:r>
      <w:proofErr w:type="gramStart"/>
      <w:r w:rsidRPr="009A6A78">
        <w:rPr>
          <w:i/>
        </w:rPr>
        <w:t>P</w:t>
      </w:r>
      <w:proofErr w:type="gramEnd"/>
      <w:r w:rsidRPr="009A6A78">
        <w:rPr>
          <w:vertAlign w:val="subscript"/>
        </w:rPr>
        <w:t>с,</w:t>
      </w:r>
      <w:r w:rsidRPr="009A6A78">
        <w:rPr>
          <w:i/>
        </w:rPr>
        <w:t>t</w:t>
      </w:r>
      <w:r>
        <w:t>) тока и электромагнитного поля</w:t>
      </w:r>
      <w:r w:rsidRPr="009A6A78">
        <w:t xml:space="preserve"> (ЭМ) поля единичного вакуумного электронного прибора (ЭП) </w:t>
      </w:r>
      <w:r>
        <w:t>–</w:t>
      </w:r>
      <w:r w:rsidRPr="009A6A78">
        <w:t xml:space="preserve"> </w:t>
      </w:r>
      <w:proofErr w:type="spellStart"/>
      <w:r w:rsidRPr="009A6A78">
        <w:t>микротриода</w:t>
      </w:r>
      <w:proofErr w:type="spellEnd"/>
      <w:r w:rsidRPr="009A6A78">
        <w:t xml:space="preserve"> СВЧ. Считаем, что ЭМ возмущение в момент времени </w:t>
      </w:r>
      <w:proofErr w:type="spellStart"/>
      <w:r w:rsidRPr="009A6A78">
        <w:rPr>
          <w:i/>
        </w:rPr>
        <w:t>t</w:t>
      </w:r>
      <w:proofErr w:type="spellEnd"/>
      <w:r w:rsidRPr="009A6A78">
        <w:t xml:space="preserve"> обусловлено одновременно ЭДС источников питания и сигнала, имеющих мощность </w:t>
      </w:r>
      <w:r w:rsidRPr="009A6A78">
        <w:rPr>
          <w:i/>
        </w:rPr>
        <w:t>P</w:t>
      </w:r>
      <w:r w:rsidRPr="009A6A78">
        <w:rPr>
          <w:vertAlign w:val="subscript"/>
        </w:rPr>
        <w:t>0</w:t>
      </w:r>
      <w:r w:rsidRPr="009A6A78">
        <w:t xml:space="preserve"> и </w:t>
      </w:r>
      <w:proofErr w:type="spellStart"/>
      <w:proofErr w:type="gramStart"/>
      <w:r w:rsidRPr="009A6A78">
        <w:rPr>
          <w:i/>
        </w:rPr>
        <w:t>P</w:t>
      </w:r>
      <w:proofErr w:type="gramEnd"/>
      <w:r w:rsidRPr="009A6A78">
        <w:rPr>
          <w:vertAlign w:val="subscript"/>
        </w:rPr>
        <w:t>с</w:t>
      </w:r>
      <w:proofErr w:type="spellEnd"/>
      <w:r>
        <w:t xml:space="preserve"> при мгновенном напряжении </w:t>
      </w:r>
      <w:r w:rsidRPr="009A6A78">
        <w:rPr>
          <w:i/>
        </w:rPr>
        <w:t>u</w:t>
      </w:r>
      <w:r>
        <w:t>=</w:t>
      </w:r>
      <w:r w:rsidRPr="009A6A78">
        <w:rPr>
          <w:i/>
        </w:rPr>
        <w:t>U</w:t>
      </w:r>
      <w:r w:rsidRPr="009A6A78">
        <w:rPr>
          <w:vertAlign w:val="subscript"/>
        </w:rPr>
        <w:t>0</w:t>
      </w:r>
      <w:r>
        <w:t>‧</w:t>
      </w:r>
      <w:r w:rsidRPr="009A6A78">
        <w:rPr>
          <w:i/>
        </w:rPr>
        <w:t>U</w:t>
      </w:r>
      <w:r w:rsidRPr="009A6A78">
        <w:rPr>
          <w:vertAlign w:val="subscript"/>
        </w:rPr>
        <w:t>m</w:t>
      </w:r>
      <w:r>
        <w:t xml:space="preserve"> </w:t>
      </w:r>
      <w:proofErr w:type="spellStart"/>
      <w:r w:rsidRPr="009A6A78">
        <w:t>sin</w:t>
      </w:r>
      <w:proofErr w:type="spellEnd"/>
      <w:r>
        <w:t>(</w:t>
      </w:r>
      <w:r w:rsidRPr="009A6A78">
        <w:t>ωt</w:t>
      </w:r>
      <w:r>
        <w:t>)</w:t>
      </w:r>
      <w:r w:rsidRPr="009A6A78">
        <w:t xml:space="preserve"> на его электродах, но не рассматриваем специфику подключения питающих проводов, создающих внешние обратные связи ВИС.</w:t>
      </w:r>
    </w:p>
    <w:p w:rsidR="008E56FF" w:rsidRDefault="009A6A78" w:rsidP="009E7120">
      <w:pPr>
        <w:pStyle w:val="affff2"/>
      </w:pPr>
      <w:r w:rsidRPr="009A6A78">
        <w:t>Конкретизацию импедансной модели электронных компонентов (</w:t>
      </w:r>
      <w:proofErr w:type="gramStart"/>
      <w:r w:rsidRPr="009A6A78">
        <w:t>ЭК</w:t>
      </w:r>
      <w:proofErr w:type="gramEnd"/>
      <w:r w:rsidRPr="009A6A78">
        <w:t>) проводим на примере графического инварианта параллельного соединения вещественного (</w:t>
      </w:r>
      <w:proofErr w:type="spellStart"/>
      <w:r w:rsidRPr="009A6A78">
        <w:t>резистивно-негатронного</w:t>
      </w:r>
      <w:proofErr w:type="spellEnd"/>
      <w:r w:rsidRPr="009A6A78">
        <w:t xml:space="preserve">) и реактивного (индуктивно-емкостного) двухполюсного или </w:t>
      </w:r>
      <w:r>
        <w:t xml:space="preserve">одностороннего </w:t>
      </w:r>
      <w:proofErr w:type="spellStart"/>
      <w:r>
        <w:t>четырехполюсного</w:t>
      </w:r>
      <w:proofErr w:type="spellEnd"/>
      <w:r w:rsidRPr="009A6A78">
        <w:t xml:space="preserve"> НЭ для изучения электромеханических процессов СВЧ. В этом случае решаем совместно уравнения Лоренца и Рамо, баланса кинетической и потенциальной энергии электрона, выделяя в </w:t>
      </w:r>
      <w:proofErr w:type="spellStart"/>
      <w:r w:rsidRPr="009A6A78">
        <w:t>микротриоде</w:t>
      </w:r>
      <w:proofErr w:type="spellEnd"/>
      <w:r w:rsidRPr="009A6A78">
        <w:t xml:space="preserve"> область </w:t>
      </w:r>
      <w:proofErr w:type="spellStart"/>
      <w:r w:rsidRPr="009A6A78">
        <w:rPr>
          <w:i/>
        </w:rPr>
        <w:t>d</w:t>
      </w:r>
      <w:proofErr w:type="spellEnd"/>
      <w:r w:rsidRPr="009A6A78">
        <w:t xml:space="preserve"> пролета электронов и группируя члены, содержащие сомножители </w:t>
      </w:r>
      <w:proofErr w:type="spellStart"/>
      <w:r w:rsidRPr="009A6A78">
        <w:t>sin</w:t>
      </w:r>
      <w:proofErr w:type="spellEnd"/>
      <w:r>
        <w:t>(</w:t>
      </w:r>
      <w:r w:rsidRPr="009A6A78">
        <w:t>ωt</w:t>
      </w:r>
      <w:r>
        <w:t>)</w:t>
      </w:r>
      <w:r w:rsidRPr="009A6A78">
        <w:t xml:space="preserve"> </w:t>
      </w:r>
      <w:r w:rsidRPr="009A6A78">
        <w:lastRenderedPageBreak/>
        <w:t xml:space="preserve">и </w:t>
      </w:r>
      <w:proofErr w:type="spellStart"/>
      <w:r w:rsidRPr="009A6A78">
        <w:t>cos</w:t>
      </w:r>
      <w:proofErr w:type="spellEnd"/>
      <w:r>
        <w:t>(</w:t>
      </w:r>
      <w:r w:rsidRPr="009A6A78">
        <w:t>ωt</w:t>
      </w:r>
      <w:r>
        <w:t>)</w:t>
      </w:r>
      <w:r w:rsidRPr="009A6A78">
        <w:t xml:space="preserve">. Затем раскладывая тригонометрические функции в степенные ряды получаем аналитическое выражение переменной составляющей монохроматического наведенного тока </w:t>
      </w:r>
      <w:proofErr w:type="spellStart"/>
      <w:r w:rsidRPr="009A6A78">
        <w:rPr>
          <w:i/>
        </w:rPr>
        <w:t>i</w:t>
      </w:r>
      <w:r w:rsidRPr="009A6A78">
        <w:rPr>
          <w:vertAlign w:val="subscript"/>
        </w:rPr>
        <w:t>нав</w:t>
      </w:r>
      <w:proofErr w:type="spellEnd"/>
      <w:r w:rsidRPr="009A6A78">
        <w:t>(</w:t>
      </w:r>
      <w:r w:rsidRPr="009A6A78">
        <w:rPr>
          <w:i/>
        </w:rPr>
        <w:t>P</w:t>
      </w:r>
      <w:r w:rsidRPr="009A6A78">
        <w:rPr>
          <w:vertAlign w:val="subscript"/>
        </w:rPr>
        <w:t>0</w:t>
      </w:r>
      <w:r w:rsidRPr="009A6A78">
        <w:t>,</w:t>
      </w:r>
      <w:proofErr w:type="gramStart"/>
      <w:r w:rsidRPr="009A6A78">
        <w:rPr>
          <w:i/>
        </w:rPr>
        <w:t>P</w:t>
      </w:r>
      <w:proofErr w:type="gramEnd"/>
      <w:r w:rsidRPr="009A6A78">
        <w:rPr>
          <w:vertAlign w:val="subscript"/>
        </w:rPr>
        <w:t>с</w:t>
      </w:r>
      <w:r w:rsidRPr="009A6A78">
        <w:t>,</w:t>
      </w:r>
      <w:r w:rsidRPr="009A6A78">
        <w:rPr>
          <w:i/>
        </w:rPr>
        <w:t>t</w:t>
      </w:r>
      <w:r w:rsidRPr="009A6A78">
        <w:t>) каждого фрагмента и всей конструкции ИИ в ЭМ поле</w:t>
      </w:r>
    </w:p>
    <w:p w:rsidR="009A6A78" w:rsidRPr="009A6A78" w:rsidRDefault="004D6A02" w:rsidP="009A6A78">
      <w:pPr>
        <w:widowControl w:val="0"/>
        <w:ind w:firstLine="357"/>
        <w:jc w:val="center"/>
        <w:rPr>
          <w:iCs/>
          <w:color w:val="auto"/>
          <w:spacing w:val="0"/>
          <w:position w:val="0"/>
          <w:sz w:val="28"/>
          <w:szCs w:val="28"/>
          <w:lang w:eastAsia="en-US"/>
        </w:rPr>
      </w:pPr>
      <w:r w:rsidRPr="004D6A02">
        <w:rPr>
          <w:color w:val="auto"/>
          <w:spacing w:val="0"/>
          <w:position w:val="-12"/>
          <w:sz w:val="28"/>
          <w:szCs w:val="28"/>
          <w:lang w:eastAsia="en-US"/>
        </w:rPr>
        <w:object w:dxaOrig="39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55pt;height:17.55pt" o:ole="">
            <v:imagedata r:id="rId8" o:title=""/>
          </v:shape>
          <o:OLEObject Type="Embed" ProgID="Equation.3" ShapeID="_x0000_i1025" DrawAspect="Content" ObjectID="_1835284976" r:id="rId9"/>
        </w:object>
      </w:r>
      <w:r w:rsidR="009A6A78" w:rsidRPr="009A6A78">
        <w:rPr>
          <w:iCs/>
          <w:color w:val="auto"/>
          <w:spacing w:val="0"/>
          <w:position w:val="0"/>
          <w:sz w:val="28"/>
          <w:szCs w:val="28"/>
          <w:lang w:eastAsia="en-US"/>
        </w:rPr>
        <w:t>; (1)</w:t>
      </w:r>
    </w:p>
    <w:p w:rsidR="009A6A78" w:rsidRPr="009A6A78" w:rsidRDefault="004D6A02" w:rsidP="009A6A78">
      <w:pPr>
        <w:widowControl w:val="0"/>
        <w:ind w:firstLine="357"/>
        <w:jc w:val="center"/>
        <w:rPr>
          <w:color w:val="auto"/>
          <w:spacing w:val="0"/>
          <w:position w:val="0"/>
          <w:sz w:val="28"/>
          <w:szCs w:val="28"/>
          <w:lang w:eastAsia="en-US"/>
        </w:rPr>
      </w:pPr>
      <w:r w:rsidRPr="004D6A02">
        <w:rPr>
          <w:color w:val="auto"/>
          <w:spacing w:val="0"/>
          <w:position w:val="-28"/>
          <w:sz w:val="28"/>
          <w:szCs w:val="28"/>
          <w:lang w:eastAsia="en-US"/>
        </w:rPr>
        <w:object w:dxaOrig="2900" w:dyaOrig="700">
          <v:shape id="_x0000_i1026" type="#_x0000_t75" style="width:144.9pt;height:33.7pt" o:ole="">
            <v:imagedata r:id="rId10" o:title=""/>
          </v:shape>
          <o:OLEObject Type="Embed" ProgID="Equation.3" ShapeID="_x0000_i1026" DrawAspect="Content" ObjectID="_1835284977" r:id="rId11"/>
        </w:object>
      </w:r>
      <w:r w:rsidR="009A6A78" w:rsidRPr="009A6A78">
        <w:rPr>
          <w:color w:val="auto"/>
          <w:spacing w:val="0"/>
          <w:position w:val="0"/>
          <w:sz w:val="28"/>
          <w:szCs w:val="28"/>
          <w:lang w:eastAsia="en-US"/>
        </w:rPr>
        <w:t xml:space="preserve">; (2) </w:t>
      </w:r>
      <w:r w:rsidRPr="004D6A02">
        <w:rPr>
          <w:color w:val="auto"/>
          <w:spacing w:val="0"/>
          <w:position w:val="-28"/>
          <w:sz w:val="28"/>
          <w:szCs w:val="28"/>
          <w:lang w:eastAsia="en-US"/>
        </w:rPr>
        <w:object w:dxaOrig="2940" w:dyaOrig="700">
          <v:shape id="_x0000_i1027" type="#_x0000_t75" style="width:147.25pt;height:33.7pt" o:ole="">
            <v:imagedata r:id="rId12" o:title=""/>
          </v:shape>
          <o:OLEObject Type="Embed" ProgID="Equation.3" ShapeID="_x0000_i1027" DrawAspect="Content" ObjectID="_1835284978" r:id="rId13"/>
        </w:object>
      </w:r>
      <w:r w:rsidR="009A6A78" w:rsidRPr="009A6A78">
        <w:rPr>
          <w:color w:val="auto"/>
          <w:spacing w:val="0"/>
          <w:position w:val="0"/>
          <w:sz w:val="28"/>
          <w:szCs w:val="28"/>
          <w:lang w:eastAsia="en-US"/>
        </w:rPr>
        <w:t>. (3)</w:t>
      </w:r>
    </w:p>
    <w:p w:rsidR="009A6A78" w:rsidRPr="009A6A78" w:rsidRDefault="004D6A02" w:rsidP="009A6A78">
      <w:pPr>
        <w:widowControl w:val="0"/>
        <w:spacing w:line="360" w:lineRule="auto"/>
        <w:ind w:firstLine="709"/>
        <w:jc w:val="center"/>
        <w:rPr>
          <w:iCs/>
          <w:color w:val="auto"/>
          <w:spacing w:val="0"/>
          <w:position w:val="0"/>
          <w:sz w:val="28"/>
          <w:szCs w:val="28"/>
          <w:lang w:eastAsia="en-US"/>
        </w:rPr>
      </w:pPr>
      <w:r w:rsidRPr="004D6A02">
        <w:rPr>
          <w:color w:val="auto"/>
          <w:spacing w:val="0"/>
          <w:position w:val="-32"/>
          <w:sz w:val="28"/>
          <w:szCs w:val="28"/>
          <w:lang w:eastAsia="en-US"/>
        </w:rPr>
        <w:object w:dxaOrig="1860" w:dyaOrig="740">
          <v:shape id="_x0000_i1028" type="#_x0000_t75" style="width:92.75pt;height:36.45pt" o:ole="">
            <v:imagedata r:id="rId14" o:title=""/>
          </v:shape>
          <o:OLEObject Type="Embed" ProgID="Equation.3" ShapeID="_x0000_i1028" DrawAspect="Content" ObjectID="_1835284979" r:id="rId15"/>
        </w:object>
      </w:r>
      <w:r w:rsidR="009A6A78" w:rsidRPr="009A6A78">
        <w:rPr>
          <w:iCs/>
          <w:color w:val="auto"/>
          <w:spacing w:val="0"/>
          <w:position w:val="0"/>
          <w:sz w:val="28"/>
          <w:szCs w:val="28"/>
          <w:lang w:eastAsia="en-US"/>
        </w:rPr>
        <w:t xml:space="preserve">; (4) </w:t>
      </w:r>
      <w:r w:rsidRPr="004D6A02">
        <w:rPr>
          <w:color w:val="auto"/>
          <w:spacing w:val="0"/>
          <w:position w:val="-32"/>
          <w:sz w:val="28"/>
          <w:szCs w:val="28"/>
          <w:lang w:eastAsia="en-US"/>
        </w:rPr>
        <w:object w:dxaOrig="1939" w:dyaOrig="740">
          <v:shape id="_x0000_i1029" type="#_x0000_t75" style="width:96.9pt;height:36pt" o:ole="">
            <v:imagedata r:id="rId16" o:title=""/>
          </v:shape>
          <o:OLEObject Type="Embed" ProgID="Equation.3" ShapeID="_x0000_i1029" DrawAspect="Content" ObjectID="_1835284980" r:id="rId17"/>
        </w:object>
      </w:r>
      <w:r w:rsidRPr="009A6A78">
        <w:rPr>
          <w:color w:val="auto"/>
          <w:spacing w:val="0"/>
          <w:position w:val="0"/>
          <w:sz w:val="28"/>
          <w:szCs w:val="28"/>
          <w:lang w:eastAsia="en-US"/>
        </w:rPr>
        <w:t>;</w:t>
      </w:r>
      <w:r w:rsidR="009A6A78" w:rsidRPr="009A6A78">
        <w:rPr>
          <w:iCs/>
          <w:color w:val="auto"/>
          <w:spacing w:val="0"/>
          <w:position w:val="0"/>
          <w:sz w:val="28"/>
          <w:szCs w:val="28"/>
          <w:lang w:eastAsia="en-US"/>
        </w:rPr>
        <w:t xml:space="preserve"> (5)</w:t>
      </w:r>
    </w:p>
    <w:p w:rsidR="009A6A78" w:rsidRPr="009A6A78" w:rsidRDefault="004D6A02" w:rsidP="009A6A78">
      <w:pPr>
        <w:widowControl w:val="0"/>
        <w:jc w:val="center"/>
        <w:rPr>
          <w:color w:val="auto"/>
          <w:spacing w:val="0"/>
          <w:position w:val="0"/>
          <w:sz w:val="28"/>
          <w:szCs w:val="28"/>
          <w:lang w:eastAsia="en-US"/>
        </w:rPr>
      </w:pPr>
      <w:r w:rsidRPr="004D6A02">
        <w:rPr>
          <w:color w:val="auto"/>
          <w:spacing w:val="0"/>
          <w:position w:val="-28"/>
          <w:sz w:val="28"/>
          <w:szCs w:val="28"/>
          <w:lang w:eastAsia="en-US"/>
        </w:rPr>
        <w:object w:dxaOrig="1400" w:dyaOrig="740">
          <v:shape id="_x0000_i1030" type="#_x0000_t75" style="width:70.15pt;height:36pt" o:ole="">
            <v:imagedata r:id="rId18" o:title=""/>
          </v:shape>
          <o:OLEObject Type="Embed" ProgID="Equation.3" ShapeID="_x0000_i1030" DrawAspect="Content" ObjectID="_1835284981" r:id="rId19"/>
        </w:object>
      </w:r>
      <w:r w:rsidRPr="009A6A78">
        <w:rPr>
          <w:color w:val="auto"/>
          <w:spacing w:val="0"/>
          <w:position w:val="0"/>
          <w:sz w:val="28"/>
          <w:szCs w:val="28"/>
          <w:lang w:eastAsia="en-US"/>
        </w:rPr>
        <w:t xml:space="preserve">; </w:t>
      </w:r>
      <w:r w:rsidR="009A6A78" w:rsidRPr="009A6A78">
        <w:rPr>
          <w:color w:val="auto"/>
          <w:spacing w:val="0"/>
          <w:position w:val="0"/>
          <w:sz w:val="28"/>
          <w:szCs w:val="28"/>
          <w:lang w:eastAsia="en-US"/>
        </w:rPr>
        <w:t>(6)</w:t>
      </w:r>
      <w:r w:rsidR="009A6A78" w:rsidRPr="009A6A78">
        <w:rPr>
          <w:color w:val="auto"/>
          <w:spacing w:val="0"/>
          <w:position w:val="-26"/>
          <w:sz w:val="28"/>
          <w:szCs w:val="28"/>
          <w:lang w:eastAsia="en-US"/>
        </w:rPr>
        <w:t xml:space="preserve"> </w:t>
      </w:r>
      <w:r w:rsidRPr="004D6A02">
        <w:rPr>
          <w:color w:val="auto"/>
          <w:spacing w:val="0"/>
          <w:position w:val="-32"/>
          <w:sz w:val="28"/>
          <w:szCs w:val="28"/>
          <w:lang w:eastAsia="en-US"/>
        </w:rPr>
        <w:object w:dxaOrig="1540" w:dyaOrig="740">
          <v:shape id="_x0000_i1031" type="#_x0000_t75" style="width:77.1pt;height:37.85pt" o:ole="">
            <v:imagedata r:id="rId20" o:title=""/>
          </v:shape>
          <o:OLEObject Type="Embed" ProgID="Equation.3" ShapeID="_x0000_i1031" DrawAspect="Content" ObjectID="_1835284982" r:id="rId21"/>
        </w:object>
      </w:r>
      <w:r w:rsidRPr="009A6A78">
        <w:rPr>
          <w:color w:val="auto"/>
          <w:spacing w:val="0"/>
          <w:position w:val="0"/>
          <w:sz w:val="28"/>
          <w:szCs w:val="28"/>
          <w:lang w:eastAsia="en-US"/>
        </w:rPr>
        <w:t xml:space="preserve">; </w:t>
      </w:r>
      <w:r w:rsidR="009A6A78" w:rsidRPr="009A6A78">
        <w:rPr>
          <w:color w:val="auto"/>
          <w:spacing w:val="0"/>
          <w:position w:val="0"/>
          <w:sz w:val="28"/>
          <w:szCs w:val="28"/>
          <w:lang w:eastAsia="en-US"/>
        </w:rPr>
        <w:t>(7)</w:t>
      </w:r>
    </w:p>
    <w:p w:rsidR="009A6A78" w:rsidRDefault="009A6A78" w:rsidP="009A6A78">
      <w:pPr>
        <w:pStyle w:val="affff2"/>
        <w:ind w:firstLine="0"/>
      </w:pPr>
      <w:r w:rsidRPr="009A6A78">
        <w:t xml:space="preserve">где величина </w:t>
      </w:r>
      <w:r w:rsidRPr="009A6A78">
        <w:rPr>
          <w:i/>
        </w:rPr>
        <w:t>I</w:t>
      </w:r>
      <w:r w:rsidRPr="009A6A78">
        <w:rPr>
          <w:vertAlign w:val="subscript"/>
        </w:rPr>
        <w:t>0</w:t>
      </w:r>
      <w:r w:rsidR="004D6A02">
        <w:rPr>
          <w:vertAlign w:val="subscript"/>
        </w:rPr>
        <w:t xml:space="preserve"> </w:t>
      </w:r>
      <w:r w:rsidR="004D6A02">
        <w:t>–</w:t>
      </w:r>
      <w:r w:rsidRPr="009A6A78">
        <w:t xml:space="preserve"> постоянная составляющая конвекционного тока дискретного ЭП.</w:t>
      </w:r>
    </w:p>
    <w:p w:rsidR="009A6A78" w:rsidRDefault="009A6A78" w:rsidP="009A6A78">
      <w:pPr>
        <w:pStyle w:val="affff2"/>
        <w:ind w:firstLine="709"/>
      </w:pPr>
      <w:r w:rsidRPr="009A6A78">
        <w:t xml:space="preserve">Формулы (1) </w:t>
      </w:r>
      <w:r w:rsidR="004D6A02">
        <w:t>–</w:t>
      </w:r>
      <w:r w:rsidRPr="009A6A78">
        <w:t xml:space="preserve"> (7) позволяют корректно воспользоваться при символьном анализе фрагмента ВИС алгоритмами  уменьшения количества переменных нелинейной теории электрических и электронных цепей (ЭЦ), записанными в алгебраической комплексной форме, рекомендуемой для операций вычисления композиции ЭМ воздействий и реакций отдельных </w:t>
      </w:r>
      <w:proofErr w:type="spellStart"/>
      <w:r w:rsidRPr="009A6A78">
        <w:t>микротриодов</w:t>
      </w:r>
      <w:proofErr w:type="spellEnd"/>
      <w:r>
        <w:t>.</w:t>
      </w:r>
    </w:p>
    <w:p w:rsidR="009A6A78" w:rsidRDefault="009A6A78" w:rsidP="009A6A78">
      <w:pPr>
        <w:pStyle w:val="affff2"/>
        <w:ind w:firstLine="709"/>
      </w:pPr>
      <w:r w:rsidRPr="009A6A78">
        <w:t xml:space="preserve">Затем, записываем полный входной импеданс каждого и всех ЭК как инвариант </w:t>
      </w:r>
      <w:proofErr w:type="spellStart"/>
      <w:r w:rsidRPr="009A6A78">
        <w:t>амплитудн</w:t>
      </w:r>
      <w:proofErr w:type="gramStart"/>
      <w:r w:rsidRPr="009A6A78">
        <w:t>о</w:t>
      </w:r>
      <w:proofErr w:type="spellEnd"/>
      <w:r w:rsidRPr="009A6A78">
        <w:t>-</w:t>
      </w:r>
      <w:proofErr w:type="gramEnd"/>
      <w:r w:rsidRPr="009A6A78">
        <w:t xml:space="preserve"> и частотно-зависимых вольтамперной характеристики (ВАХ) НЭ</w:t>
      </w:r>
    </w:p>
    <w:p w:rsidR="009A6A78" w:rsidRPr="004D6A02" w:rsidRDefault="00AD3F15" w:rsidP="00AD3F15">
      <w:pPr>
        <w:pStyle w:val="affff2"/>
        <w:tabs>
          <w:tab w:val="center" w:pos="4536"/>
          <w:tab w:val="right" w:pos="9072"/>
        </w:tabs>
        <w:ind w:firstLine="709"/>
        <w:jc w:val="center"/>
        <w:rPr>
          <w:szCs w:val="28"/>
          <w:lang w:eastAsia="en-US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4D6A02" w:rsidRPr="004D6A02">
        <w:rPr>
          <w:position w:val="-12"/>
          <w:szCs w:val="28"/>
        </w:rPr>
        <w:object w:dxaOrig="4000" w:dyaOrig="400">
          <v:shape id="_x0000_i1032" type="#_x0000_t75" style="width:199.4pt;height:19.85pt" o:ole="">
            <v:imagedata r:id="rId22" o:title=""/>
          </v:shape>
          <o:OLEObject Type="Embed" ProgID="Equation.3" ShapeID="_x0000_i1032" DrawAspect="Content" ObjectID="_1835284983" r:id="rId23"/>
        </w:object>
      </w:r>
      <w:r>
        <w:rPr>
          <w:szCs w:val="28"/>
        </w:rPr>
        <w:tab/>
      </w:r>
      <w:r w:rsidR="009A6A78" w:rsidRPr="009A6A78">
        <w:rPr>
          <w:szCs w:val="28"/>
          <w:lang w:eastAsia="en-US"/>
        </w:rPr>
        <w:t>(8)</w:t>
      </w:r>
    </w:p>
    <w:p w:rsidR="00DD00AE" w:rsidRPr="004D6A02" w:rsidRDefault="00AD3F15" w:rsidP="00AD3F15">
      <w:pPr>
        <w:pStyle w:val="affff2"/>
        <w:tabs>
          <w:tab w:val="center" w:pos="4536"/>
          <w:tab w:val="right" w:pos="9072"/>
        </w:tabs>
        <w:ind w:firstLine="709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4D6A02" w:rsidRPr="004D6A02">
        <w:rPr>
          <w:position w:val="-32"/>
          <w:szCs w:val="28"/>
        </w:rPr>
        <w:object w:dxaOrig="4920" w:dyaOrig="740">
          <v:shape id="_x0000_i1033" type="#_x0000_t75" style="width:246.45pt;height:36.45pt" o:ole="">
            <v:imagedata r:id="rId24" o:title=""/>
          </v:shape>
          <o:OLEObject Type="Embed" ProgID="Equation.3" ShapeID="_x0000_i1033" DrawAspect="Content" ObjectID="_1835284984" r:id="rId25"/>
        </w:object>
      </w:r>
      <w:r>
        <w:rPr>
          <w:szCs w:val="28"/>
        </w:rPr>
        <w:tab/>
      </w:r>
      <w:r w:rsidR="004D6A02" w:rsidRPr="004D6A02">
        <w:rPr>
          <w:szCs w:val="28"/>
        </w:rPr>
        <w:t>(9)</w:t>
      </w:r>
    </w:p>
    <w:p w:rsidR="00DD00AE" w:rsidRPr="009A6A78" w:rsidRDefault="00AD3F15" w:rsidP="00AD3F15">
      <w:pPr>
        <w:pStyle w:val="affff2"/>
        <w:tabs>
          <w:tab w:val="center" w:pos="4536"/>
          <w:tab w:val="right" w:pos="9072"/>
        </w:tabs>
        <w:ind w:firstLine="709"/>
        <w:jc w:val="center"/>
        <w:rPr>
          <w:szCs w:val="28"/>
          <w:lang w:eastAsia="en-US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 w:rsidR="004D6A02" w:rsidRPr="004D6A02">
        <w:rPr>
          <w:position w:val="-32"/>
          <w:szCs w:val="28"/>
        </w:rPr>
        <w:object w:dxaOrig="4980" w:dyaOrig="740">
          <v:shape id="_x0000_i1034" type="#_x0000_t75" style="width:249.7pt;height:36.45pt" o:ole="">
            <v:imagedata r:id="rId26" o:title=""/>
          </v:shape>
          <o:OLEObject Type="Embed" ProgID="Equation.3" ShapeID="_x0000_i1034" DrawAspect="Content" ObjectID="_1835284985" r:id="rId27"/>
        </w:object>
      </w:r>
      <w:r>
        <w:rPr>
          <w:szCs w:val="28"/>
        </w:rPr>
        <w:tab/>
      </w:r>
      <w:r w:rsidR="004D6A02" w:rsidRPr="004D6A02">
        <w:rPr>
          <w:szCs w:val="28"/>
        </w:rPr>
        <w:t>(10)</w:t>
      </w:r>
    </w:p>
    <w:p w:rsidR="009A6A78" w:rsidRDefault="009A6A78" w:rsidP="009A6A78">
      <w:pPr>
        <w:pStyle w:val="affff2"/>
        <w:ind w:firstLine="709"/>
      </w:pPr>
      <w:r w:rsidRPr="009A6A78">
        <w:t xml:space="preserve">Алгебраическая сумма (8) вещественного </w:t>
      </w:r>
      <w:proofErr w:type="spellStart"/>
      <w:r w:rsidRPr="009A6A78">
        <w:rPr>
          <w:i/>
        </w:rPr>
        <w:t>G</w:t>
      </w:r>
      <w:r w:rsidRPr="009A6A78">
        <w:rPr>
          <w:vertAlign w:val="subscript"/>
        </w:rPr>
        <w:t>e</w:t>
      </w:r>
      <w:proofErr w:type="spellEnd"/>
      <w:r w:rsidRPr="009A6A78">
        <w:t>(</w:t>
      </w:r>
      <w:r w:rsidRPr="009A6A78">
        <w:rPr>
          <w:i/>
        </w:rPr>
        <w:t>P</w:t>
      </w:r>
      <w:r w:rsidRPr="009A6A78">
        <w:rPr>
          <w:vertAlign w:val="subscript"/>
        </w:rPr>
        <w:t>0</w:t>
      </w:r>
      <w:r w:rsidRPr="009A6A78">
        <w:t>,</w:t>
      </w:r>
      <w:proofErr w:type="gramStart"/>
      <w:r w:rsidRPr="009A6A78">
        <w:rPr>
          <w:i/>
        </w:rPr>
        <w:t>P</w:t>
      </w:r>
      <w:proofErr w:type="gramEnd"/>
      <w:r w:rsidRPr="009A6A78">
        <w:rPr>
          <w:vertAlign w:val="subscript"/>
        </w:rPr>
        <w:t>с</w:t>
      </w:r>
      <w:r w:rsidRPr="009A6A78">
        <w:t xml:space="preserve">) и мнимого </w:t>
      </w:r>
      <w:proofErr w:type="spellStart"/>
      <w:r w:rsidRPr="009A6A78">
        <w:rPr>
          <w:i/>
        </w:rPr>
        <w:t>B</w:t>
      </w:r>
      <w:r w:rsidRPr="009A6A78">
        <w:rPr>
          <w:vertAlign w:val="subscript"/>
        </w:rPr>
        <w:t>e</w:t>
      </w:r>
      <w:proofErr w:type="spellEnd"/>
      <w:r w:rsidRPr="009A6A78">
        <w:t>(</w:t>
      </w:r>
      <w:r w:rsidRPr="009A6A78">
        <w:rPr>
          <w:i/>
        </w:rPr>
        <w:t>P</w:t>
      </w:r>
      <w:r w:rsidRPr="009A6A78">
        <w:rPr>
          <w:vertAlign w:val="subscript"/>
        </w:rPr>
        <w:t>0</w:t>
      </w:r>
      <w:r w:rsidRPr="009A6A78">
        <w:t>,</w:t>
      </w:r>
      <w:r w:rsidRPr="009A6A78">
        <w:rPr>
          <w:i/>
        </w:rPr>
        <w:t>P</w:t>
      </w:r>
      <w:r w:rsidRPr="009A6A78">
        <w:rPr>
          <w:vertAlign w:val="subscript"/>
        </w:rPr>
        <w:t>с</w:t>
      </w:r>
      <w:r>
        <w:t>) членов</w:t>
      </w:r>
      <w:r w:rsidRPr="009A6A78">
        <w:t xml:space="preserve"> характеризует преобразование и </w:t>
      </w:r>
      <w:r>
        <w:t>запасание электрической энергии</w:t>
      </w:r>
      <w:r w:rsidRPr="009A6A78">
        <w:t xml:space="preserve"> в межэлектродной области </w:t>
      </w:r>
      <w:proofErr w:type="spellStart"/>
      <w:r w:rsidRPr="009A6A78">
        <w:rPr>
          <w:i/>
        </w:rPr>
        <w:t>d</w:t>
      </w:r>
      <w:proofErr w:type="spellEnd"/>
      <w:r w:rsidRPr="009A6A78">
        <w:t xml:space="preserve"> </w:t>
      </w:r>
      <w:proofErr w:type="spellStart"/>
      <w:r w:rsidRPr="009A6A78">
        <w:t>микротриода</w:t>
      </w:r>
      <w:proofErr w:type="spellEnd"/>
      <w:r w:rsidRPr="009A6A78">
        <w:t xml:space="preserve"> и соответствуе</w:t>
      </w:r>
      <w:r>
        <w:t>т</w:t>
      </w:r>
      <w:r w:rsidRPr="009A6A78">
        <w:t xml:space="preserve"> клеммам его НЭ. Мгновенные величины импеданса </w:t>
      </w:r>
      <w:proofErr w:type="spellStart"/>
      <w:r w:rsidRPr="009A6A78">
        <w:rPr>
          <w:i/>
        </w:rPr>
        <w:t>Ẏ</w:t>
      </w:r>
      <w:r w:rsidRPr="009A6A78">
        <w:rPr>
          <w:vertAlign w:val="subscript"/>
        </w:rPr>
        <w:t>e</w:t>
      </w:r>
      <w:proofErr w:type="spellEnd"/>
      <w:r w:rsidRPr="009A6A78">
        <w:t>(</w:t>
      </w:r>
      <w:r w:rsidRPr="009A6A78">
        <w:rPr>
          <w:i/>
        </w:rPr>
        <w:t>P</w:t>
      </w:r>
      <w:r w:rsidRPr="009A6A78">
        <w:rPr>
          <w:vertAlign w:val="subscript"/>
        </w:rPr>
        <w:t>0</w:t>
      </w:r>
      <w:r w:rsidRPr="009A6A78">
        <w:t>,</w:t>
      </w:r>
      <w:proofErr w:type="gramStart"/>
      <w:r w:rsidRPr="009A6A78">
        <w:rPr>
          <w:i/>
        </w:rPr>
        <w:t>P</w:t>
      </w:r>
      <w:proofErr w:type="gramEnd"/>
      <w:r w:rsidRPr="009A6A78">
        <w:rPr>
          <w:vertAlign w:val="subscript"/>
        </w:rPr>
        <w:t>с</w:t>
      </w:r>
      <w:r w:rsidRPr="009A6A78">
        <w:t>,ω) ветвей и контуров ЭЦ определяются граничными условий в ВИС, следующими из законов сохранения энергии и заряда, обусловленных электромеханическими процессами движения электронов в ней.</w:t>
      </w:r>
    </w:p>
    <w:p w:rsidR="009A6A78" w:rsidRDefault="005F0E87" w:rsidP="009E7120">
      <w:pPr>
        <w:pStyle w:val="affff2"/>
      </w:pPr>
      <w:r w:rsidRPr="005F0E87">
        <w:t xml:space="preserve">Рис.1 демонстрирует периодическое изменение СВЧ параметров модели многоэлектродной конструкции ИС, феноменологически и инвариантно отображающие явления ускорения и торможения электронов, отдачу и потребление, запасание и перераспределение уровня электрической энергии в них [1-3]. Положительные значения вещественной компоненты электронной проводимости </w:t>
      </w:r>
      <w:proofErr w:type="spellStart"/>
      <w:r w:rsidRPr="005F0E87">
        <w:rPr>
          <w:i/>
        </w:rPr>
        <w:t>G</w:t>
      </w:r>
      <w:r w:rsidRPr="005F0E87">
        <w:rPr>
          <w:vertAlign w:val="subscript"/>
        </w:rPr>
        <w:t>e</w:t>
      </w:r>
      <w:proofErr w:type="spellEnd"/>
      <w:r w:rsidRPr="005F0E87">
        <w:t>(</w:t>
      </w:r>
      <w:r w:rsidRPr="005F0E87">
        <w:rPr>
          <w:i/>
        </w:rPr>
        <w:t>P</w:t>
      </w:r>
      <w:r w:rsidRPr="005F0E87">
        <w:rPr>
          <w:vertAlign w:val="subscript"/>
        </w:rPr>
        <w:t>0</w:t>
      </w:r>
      <w:r w:rsidRPr="005F0E87">
        <w:t>,</w:t>
      </w:r>
      <w:proofErr w:type="gramStart"/>
      <w:r w:rsidRPr="005F0E87">
        <w:rPr>
          <w:i/>
        </w:rPr>
        <w:t>P</w:t>
      </w:r>
      <w:proofErr w:type="gramEnd"/>
      <w:r w:rsidRPr="005F0E87">
        <w:rPr>
          <w:vertAlign w:val="subscript"/>
        </w:rPr>
        <w:t>с</w:t>
      </w:r>
      <w:r w:rsidRPr="005F0E87">
        <w:t xml:space="preserve">,ω) </w:t>
      </w:r>
      <w:r w:rsidRPr="005F0E87">
        <w:lastRenderedPageBreak/>
        <w:t xml:space="preserve">одиночного ЭП лежат в диапазоне [0-2π] углов пролета θ. Отметим, что при величине θ≈5π/2 реализуется максимальное отрицательное значение </w:t>
      </w:r>
      <w:proofErr w:type="spellStart"/>
      <w:r w:rsidRPr="005F0E87">
        <w:rPr>
          <w:i/>
        </w:rPr>
        <w:t>G</w:t>
      </w:r>
      <w:r w:rsidRPr="005F0E87">
        <w:rPr>
          <w:vertAlign w:val="subscript"/>
        </w:rPr>
        <w:t>e</w:t>
      </w:r>
      <w:proofErr w:type="spellEnd"/>
      <w:r w:rsidRPr="005F0E87">
        <w:t xml:space="preserve">&lt;0 модели НЭ, определяющее негатронный характер граничных условий в ИС. Кроме того, зависимости </w:t>
      </w:r>
      <w:proofErr w:type="spellStart"/>
      <w:r w:rsidRPr="005F0E87">
        <w:t>резистивно-негатронн</w:t>
      </w:r>
      <w:proofErr w:type="gramStart"/>
      <w:r w:rsidRPr="005F0E87">
        <w:t>о</w:t>
      </w:r>
      <w:proofErr w:type="spellEnd"/>
      <w:r w:rsidRPr="005F0E87">
        <w:t>-</w:t>
      </w:r>
      <w:proofErr w:type="gramEnd"/>
      <w:r w:rsidRPr="005F0E87">
        <w:t xml:space="preserve"> реактивного импеданса </w:t>
      </w:r>
      <w:proofErr w:type="spellStart"/>
      <w:r w:rsidRPr="005F0E87">
        <w:rPr>
          <w:i/>
        </w:rPr>
        <w:t>Ẏ</w:t>
      </w:r>
      <w:r w:rsidRPr="005F0E87">
        <w:rPr>
          <w:vertAlign w:val="subscript"/>
        </w:rPr>
        <w:t>e</w:t>
      </w:r>
      <w:proofErr w:type="spellEnd"/>
      <w:r w:rsidRPr="005F0E87">
        <w:t>(</w:t>
      </w:r>
      <w:r w:rsidRPr="005F0E87">
        <w:rPr>
          <w:i/>
        </w:rPr>
        <w:t>P</w:t>
      </w:r>
      <w:r w:rsidRPr="005F0E87">
        <w:rPr>
          <w:vertAlign w:val="subscript"/>
        </w:rPr>
        <w:t>0</w:t>
      </w:r>
      <w:r w:rsidRPr="005F0E87">
        <w:t>,</w:t>
      </w:r>
      <w:r w:rsidRPr="005F0E87">
        <w:rPr>
          <w:i/>
        </w:rPr>
        <w:t>P</w:t>
      </w:r>
      <w:r w:rsidRPr="005F0E87">
        <w:rPr>
          <w:vertAlign w:val="subscript"/>
        </w:rPr>
        <w:t>с</w:t>
      </w:r>
      <w:r w:rsidRPr="005F0E87">
        <w:t xml:space="preserve">,ω) </w:t>
      </w:r>
      <w:proofErr w:type="spellStart"/>
      <w:r w:rsidRPr="005F0E87">
        <w:t>микротриода</w:t>
      </w:r>
      <w:proofErr w:type="spellEnd"/>
      <w:r w:rsidRPr="005F0E87">
        <w:t xml:space="preserve">, иллюстрирующие его энергетические свойства кривыми (рис.1), имеют экстремумы (максимумы и минимумы), а не вид обратно пропорциональной функции, соответствующей критериям Мура и </w:t>
      </w:r>
      <w:proofErr w:type="spellStart"/>
      <w:r w:rsidRPr="005F0E87">
        <w:t>Деннарда</w:t>
      </w:r>
      <w:proofErr w:type="spellEnd"/>
      <w:r w:rsidRPr="005F0E87">
        <w:t>. Поэтому методика современного «масштабирования» ИС, трактуемая как произвольное уменьшение геометрических размеров области пролета и вариация скорости электронов без</w:t>
      </w:r>
      <w:r>
        <w:t xml:space="preserve"> учета интенсивности и частоты</w:t>
      </w:r>
      <w:r w:rsidRPr="005F0E87">
        <w:t xml:space="preserve"> ЭМ поля на электродах и питающих проводах ЭП, априори не достоверна в СВЧ диапазоне.</w:t>
      </w:r>
    </w:p>
    <w:p w:rsidR="005F0E87" w:rsidRDefault="005F0E87" w:rsidP="009E7120">
      <w:pPr>
        <w:pStyle w:val="affff2"/>
      </w:pPr>
    </w:p>
    <w:p w:rsidR="005F0E87" w:rsidRDefault="00AD3F15" w:rsidP="00AD3F15">
      <w:pPr>
        <w:pStyle w:val="affff2"/>
        <w:ind w:firstLine="0"/>
        <w:jc w:val="center"/>
      </w:pPr>
      <w:r>
        <w:rPr>
          <w:noProof/>
        </w:rPr>
        <w:drawing>
          <wp:inline distT="0" distB="0" distL="0" distR="0">
            <wp:extent cx="5303227" cy="2000037"/>
            <wp:effectExtent l="19050" t="0" r="0" b="0"/>
            <wp:docPr id="1" name="Рисунок 0" descr="2026-03-17_19-48-3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6-03-17_19-48-30-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912" cy="199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E87" w:rsidRDefault="005F0E87" w:rsidP="005F0E87">
      <w:pPr>
        <w:pStyle w:val="affff2"/>
      </w:pPr>
      <w:r w:rsidRPr="008E56FF">
        <w:t>Рис</w:t>
      </w:r>
      <w:r w:rsidR="00335504">
        <w:t>унок</w:t>
      </w:r>
      <w:r w:rsidRPr="008E56FF">
        <w:t xml:space="preserve"> </w:t>
      </w:r>
      <w:r>
        <w:t>1</w:t>
      </w:r>
      <w:r w:rsidR="00335504">
        <w:t xml:space="preserve"> –</w:t>
      </w:r>
      <w:r w:rsidRPr="008E56FF">
        <w:t xml:space="preserve"> Графики функций </w:t>
      </w:r>
      <w:r w:rsidRPr="008E56FF">
        <w:rPr>
          <w:i/>
        </w:rPr>
        <w:t>F</w:t>
      </w:r>
      <w:r w:rsidRPr="008E56FF">
        <w:rPr>
          <w:vertAlign w:val="subscript"/>
        </w:rPr>
        <w:t>1</w:t>
      </w:r>
      <w:r w:rsidRPr="008E56FF">
        <w:t>(</w:t>
      </w:r>
      <w:proofErr w:type="spellStart"/>
      <w:r w:rsidRPr="008E56FF">
        <w:t>θ</w:t>
      </w:r>
      <w:proofErr w:type="spellEnd"/>
      <w:r w:rsidRPr="008E56FF">
        <w:t xml:space="preserve">) и </w:t>
      </w:r>
      <w:r w:rsidRPr="008E56FF">
        <w:rPr>
          <w:i/>
        </w:rPr>
        <w:t>F</w:t>
      </w:r>
      <w:r w:rsidRPr="008E56FF">
        <w:rPr>
          <w:vertAlign w:val="subscript"/>
        </w:rPr>
        <w:t>2</w:t>
      </w:r>
      <w:r w:rsidRPr="008E56FF">
        <w:t>(</w:t>
      </w:r>
      <w:proofErr w:type="spellStart"/>
      <w:r w:rsidRPr="008E56FF">
        <w:t>θ</w:t>
      </w:r>
      <w:proofErr w:type="spellEnd"/>
      <w:r w:rsidRPr="008E56FF">
        <w:t xml:space="preserve">), определяющих импеданс </w:t>
      </w:r>
      <w:proofErr w:type="spellStart"/>
      <w:r w:rsidRPr="008E56FF">
        <w:t>микротриода</w:t>
      </w:r>
      <w:proofErr w:type="spellEnd"/>
    </w:p>
    <w:p w:rsidR="005F0E87" w:rsidRDefault="005F0E87" w:rsidP="009E7120">
      <w:pPr>
        <w:pStyle w:val="affff2"/>
      </w:pPr>
    </w:p>
    <w:p w:rsidR="005F0E87" w:rsidRDefault="005F0E87" w:rsidP="009E7120">
      <w:pPr>
        <w:pStyle w:val="affff2"/>
      </w:pPr>
      <w:r w:rsidRPr="005F0E87">
        <w:t xml:space="preserve">Таким образом, в докладе приведен наглядный пример феноменологической и инвариантной формализации нелинейных электромеханических процессов в ВИС радиационно-стойкого ИИ, расположенной внутри и вне несшей платформы космического аппарата. Полученные алгебраические формулы, доказательно иллюстрируют методологию инженерного моделирования </w:t>
      </w:r>
      <w:proofErr w:type="spellStart"/>
      <w:r w:rsidRPr="005F0E87">
        <w:t>микротриода</w:t>
      </w:r>
      <w:proofErr w:type="spellEnd"/>
      <w:r w:rsidRPr="005F0E87">
        <w:t xml:space="preserve"> в виде инварианта параллельного и последовательного соединения </w:t>
      </w:r>
      <w:proofErr w:type="spellStart"/>
      <w:r w:rsidRPr="005F0E87">
        <w:t>резистивно-негатронного</w:t>
      </w:r>
      <w:proofErr w:type="spellEnd"/>
      <w:r w:rsidRPr="005F0E87">
        <w:t xml:space="preserve"> и реактивного дву</w:t>
      </w:r>
      <w:proofErr w:type="gramStart"/>
      <w:r w:rsidRPr="005F0E87">
        <w:t>х-</w:t>
      </w:r>
      <w:proofErr w:type="gramEnd"/>
      <w:r w:rsidRPr="005F0E87">
        <w:t xml:space="preserve"> и </w:t>
      </w:r>
      <w:proofErr w:type="spellStart"/>
      <w:r w:rsidRPr="005F0E87">
        <w:t>четырехполюсного</w:t>
      </w:r>
      <w:proofErr w:type="spellEnd"/>
      <w:r w:rsidRPr="005F0E87">
        <w:t xml:space="preserve"> НЭ, многозначно связывающих электрические и геометрические параметры ИС. Алгоритмы символьного анализа свойств </w:t>
      </w:r>
      <w:proofErr w:type="spellStart"/>
      <w:r w:rsidRPr="005F0E87">
        <w:t>трехэлектродного</w:t>
      </w:r>
      <w:proofErr w:type="spellEnd"/>
      <w:r w:rsidRPr="005F0E87">
        <w:t xml:space="preserve"> ЭП демонстрируют трансформацию трансцендентных функций в алгебраическую форму для уменьшения количества изучаемых переменных, и отодвигают на второй план исследование его временных зависимостей. Изложенный способ описания ВАХ </w:t>
      </w:r>
      <w:proofErr w:type="spellStart"/>
      <w:r w:rsidRPr="005F0E87">
        <w:t>микротриода</w:t>
      </w:r>
      <w:proofErr w:type="spellEnd"/>
      <w:r w:rsidRPr="005F0E87">
        <w:t xml:space="preserve"> позволяет достоверно воспользоваться теоремами </w:t>
      </w:r>
      <w:proofErr w:type="spellStart"/>
      <w:r w:rsidRPr="005F0E87">
        <w:t>Тевенина</w:t>
      </w:r>
      <w:proofErr w:type="spellEnd"/>
      <w:r w:rsidRPr="005F0E87">
        <w:t xml:space="preserve"> и Нортона, неравенствами Пирса и Котельникова для идентификации амплитудно-зависимых критериев стационарности и </w:t>
      </w:r>
      <w:r w:rsidRPr="005F0E87">
        <w:lastRenderedPageBreak/>
        <w:t>устойчивости режима регенерации ЭМ колебаний и потребления электрической энерг</w:t>
      </w:r>
      <w:proofErr w:type="gramStart"/>
      <w:r w:rsidRPr="005F0E87">
        <w:t>ии ИИ</w:t>
      </w:r>
      <w:proofErr w:type="gramEnd"/>
      <w:r w:rsidRPr="005F0E87">
        <w:t xml:space="preserve"> [4</w:t>
      </w:r>
      <w:r w:rsidR="00A1496D">
        <w:t>-</w:t>
      </w:r>
      <w:r w:rsidR="00335504">
        <w:t>6</w:t>
      </w:r>
      <w:r w:rsidRPr="005F0E87">
        <w:t>].</w:t>
      </w:r>
    </w:p>
    <w:p w:rsidR="008E56FF" w:rsidRDefault="008E56FF" w:rsidP="009E7120">
      <w:pPr>
        <w:pStyle w:val="affff2"/>
      </w:pPr>
    </w:p>
    <w:p w:rsidR="007441AB" w:rsidRPr="007441AB" w:rsidRDefault="007441AB" w:rsidP="007441AB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t>Литература</w:t>
      </w:r>
      <w:r>
        <w:rPr>
          <w:i/>
        </w:rPr>
        <w:t>:</w:t>
      </w:r>
    </w:p>
    <w:p w:rsidR="001159C1" w:rsidRDefault="005F0E87" w:rsidP="00A8180B">
      <w:pPr>
        <w:pStyle w:val="affff2"/>
        <w:numPr>
          <w:ilvl w:val="0"/>
          <w:numId w:val="18"/>
        </w:numPr>
      </w:pPr>
      <w:r w:rsidRPr="005F0E87">
        <w:t xml:space="preserve">Волощенко П. Ю., Волощенко Ю. П. Инвариантное моделирование систем электронных приборов и питающих проводников в интегральных схемах СВЧ // Современные информационные технологии: тенденции и перспективы развития : материалы XXVII научной конференции, Ростов-на-Дону </w:t>
      </w:r>
      <w:proofErr w:type="gramStart"/>
      <w:r w:rsidRPr="005F0E87">
        <w:t>-Т</w:t>
      </w:r>
      <w:proofErr w:type="gramEnd"/>
      <w:r w:rsidRPr="005F0E87">
        <w:t xml:space="preserve">аганрог, 24–26 сентября 2020 года. – Ростов-на-Дону </w:t>
      </w:r>
      <w:proofErr w:type="gramStart"/>
      <w:r w:rsidRPr="005F0E87">
        <w:t>-Т</w:t>
      </w:r>
      <w:proofErr w:type="gramEnd"/>
      <w:r w:rsidRPr="005F0E87">
        <w:t xml:space="preserve">аганрог: </w:t>
      </w:r>
      <w:r>
        <w:t>ЮФУ</w:t>
      </w:r>
      <w:r w:rsidRPr="005F0E87">
        <w:t>, 2020. – С. 84-86. – EDN TLVRLD</w:t>
      </w:r>
    </w:p>
    <w:bookmarkEnd w:id="0"/>
    <w:p w:rsidR="001159C1" w:rsidRDefault="005F0E87" w:rsidP="00A8180B">
      <w:pPr>
        <w:pStyle w:val="affff2"/>
        <w:numPr>
          <w:ilvl w:val="0"/>
          <w:numId w:val="18"/>
        </w:numPr>
      </w:pPr>
      <w:r w:rsidRPr="005F0E87">
        <w:t xml:space="preserve">Волощенко П. Ю., Волощенко Ю. П. Феноменологическое моделирование беспроводной сети передачи электрической энергии // Современные информационные технологии: тенденции и перспективы развития: Материалы XXX научной конференции, Ростов-на-Дону, 13–15 апреля 2023 года. – Ростов-на-Дону: </w:t>
      </w:r>
      <w:r>
        <w:t>ЮФУ</w:t>
      </w:r>
      <w:r w:rsidRPr="005F0E87">
        <w:t>, 2023. – С. 78-81. – EDN DPFYHC</w:t>
      </w:r>
    </w:p>
    <w:p w:rsidR="005F0E87" w:rsidRDefault="005F0E87" w:rsidP="00A8180B">
      <w:pPr>
        <w:pStyle w:val="affff2"/>
        <w:numPr>
          <w:ilvl w:val="0"/>
          <w:numId w:val="18"/>
        </w:numPr>
      </w:pPr>
      <w:r w:rsidRPr="005F0E87">
        <w:t>Волощенко П. Ю., Волощенко Ю. П. Концепция моделирования электромагнитного поля сверхскоростных и сверхбыстродействующих микросхем инженерным способом // Современные информационные технологии: тенденции и перспективы развития</w:t>
      </w:r>
      <w:proofErr w:type="gramStart"/>
      <w:r w:rsidRPr="005F0E87">
        <w:t xml:space="preserve"> :</w:t>
      </w:r>
      <w:proofErr w:type="gramEnd"/>
      <w:r w:rsidRPr="005F0E87">
        <w:t xml:space="preserve"> Материалы XXXII научной конференции, Ростов-на-Дону, 17–19 апреля 2025 года. – Ростов-на-Дону: </w:t>
      </w:r>
      <w:r>
        <w:t>ЮФУ</w:t>
      </w:r>
      <w:r w:rsidRPr="005F0E87">
        <w:t>, 2025. – С. 93-96. – EDN UTRAYU</w:t>
      </w:r>
    </w:p>
    <w:p w:rsidR="005F0E87" w:rsidRDefault="005F0E87" w:rsidP="005F0E87">
      <w:pPr>
        <w:pStyle w:val="affff2"/>
        <w:numPr>
          <w:ilvl w:val="0"/>
          <w:numId w:val="18"/>
        </w:numPr>
      </w:pPr>
      <w:r>
        <w:t xml:space="preserve">Ковальчук М.В. Надо перестать жить в парадигме сегодняшней </w:t>
      </w:r>
      <w:proofErr w:type="spellStart"/>
      <w:r>
        <w:t>техносферы</w:t>
      </w:r>
      <w:proofErr w:type="spellEnd"/>
      <w:r>
        <w:t xml:space="preserve"> и перейти на </w:t>
      </w:r>
      <w:proofErr w:type="spellStart"/>
      <w:r>
        <w:t>природоподобные</w:t>
      </w:r>
      <w:proofErr w:type="spellEnd"/>
      <w:r>
        <w:t xml:space="preserve"> технологии</w:t>
      </w:r>
      <w:r w:rsidR="00BB0924" w:rsidRPr="00BB0924">
        <w:t>.</w:t>
      </w:r>
      <w:r>
        <w:t xml:space="preserve"> </w:t>
      </w:r>
      <w:r w:rsidR="00BB0924" w:rsidRPr="00BB0924">
        <w:t>–</w:t>
      </w:r>
      <w:r w:rsidR="00BB0924">
        <w:rPr>
          <w:lang w:val="en-US"/>
        </w:rPr>
        <w:t>URL</w:t>
      </w:r>
      <w:r w:rsidR="00BB0924" w:rsidRPr="00BB0924">
        <w:t xml:space="preserve">: </w:t>
      </w:r>
      <w:r>
        <w:t>https://iz.ru/1224275/elena-likhomanova/nado-perestat-zhit-v-paradigme-segodniashnei-tekhnosfery-i-pereiti-na-prirodopodobnye-tekhnologii</w:t>
      </w:r>
    </w:p>
    <w:p w:rsidR="005F0E87" w:rsidRDefault="005F0E87" w:rsidP="005F0E87">
      <w:pPr>
        <w:pStyle w:val="affff2"/>
        <w:numPr>
          <w:ilvl w:val="0"/>
          <w:numId w:val="18"/>
        </w:numPr>
      </w:pPr>
      <w:r w:rsidRPr="005F0E87">
        <w:t xml:space="preserve">Ковальчук М.В. </w:t>
      </w:r>
      <w:proofErr w:type="spellStart"/>
      <w:r w:rsidRPr="005F0E87">
        <w:t>Природоподобные</w:t>
      </w:r>
      <w:proofErr w:type="spellEnd"/>
      <w:r w:rsidRPr="005F0E87">
        <w:t xml:space="preserve"> технологии как о</w:t>
      </w:r>
      <w:r w:rsidR="00335504">
        <w:t>твет на новые глобальные вызовы</w:t>
      </w:r>
      <w:r w:rsidRPr="005F0E87">
        <w:t xml:space="preserve"> </w:t>
      </w:r>
      <w:r w:rsidR="00BB0924">
        <w:t>// Цикл публичных дискуссий. Россия в глобальном контексте.</w:t>
      </w:r>
      <w:r w:rsidRPr="005F0E87">
        <w:t xml:space="preserve"> </w:t>
      </w:r>
      <w:proofErr w:type="spellStart"/>
      <w:r w:rsidRPr="005F0E87">
        <w:t>Никитский</w:t>
      </w:r>
      <w:proofErr w:type="spellEnd"/>
      <w:r w:rsidRPr="005F0E87">
        <w:t xml:space="preserve"> клуб</w:t>
      </w:r>
      <w:r w:rsidR="00BB0924">
        <w:t>.</w:t>
      </w:r>
      <w:r w:rsidRPr="005F0E87">
        <w:t xml:space="preserve"> Выпуск 102 </w:t>
      </w:r>
      <w:r w:rsidR="00BB0924">
        <w:t>–</w:t>
      </w:r>
      <w:r w:rsidRPr="005F0E87">
        <w:t xml:space="preserve"> М., 2020</w:t>
      </w:r>
      <w:r w:rsidR="00335504">
        <w:t>.</w:t>
      </w:r>
      <w:r w:rsidRPr="005F0E87">
        <w:t xml:space="preserve"> </w:t>
      </w:r>
      <w:r w:rsidR="00BB0924">
        <w:t>–</w:t>
      </w:r>
      <w:r w:rsidRPr="005F0E87">
        <w:t xml:space="preserve">52 </w:t>
      </w:r>
      <w:proofErr w:type="gramStart"/>
      <w:r w:rsidRPr="005F0E87">
        <w:t>с</w:t>
      </w:r>
      <w:proofErr w:type="gramEnd"/>
      <w:r w:rsidRPr="005F0E87">
        <w:t>.</w:t>
      </w:r>
    </w:p>
    <w:p w:rsidR="00335504" w:rsidRPr="004B48A7" w:rsidRDefault="00335504" w:rsidP="005F0E87">
      <w:pPr>
        <w:pStyle w:val="affff2"/>
        <w:numPr>
          <w:ilvl w:val="0"/>
          <w:numId w:val="18"/>
        </w:numPr>
      </w:pPr>
      <w:r w:rsidRPr="00335504">
        <w:t xml:space="preserve">Волощенко П. Ю., Волощенко Ю. П. Моделирование твердотельных электронных компонентов для </w:t>
      </w:r>
      <w:proofErr w:type="spellStart"/>
      <w:r w:rsidRPr="00335504">
        <w:t>электро</w:t>
      </w:r>
      <w:proofErr w:type="spellEnd"/>
      <w:r w:rsidRPr="00335504">
        <w:t>- и радиооборудования микроволнового диапазона: учебное пособие. – Ростов-на-Дону, Таганрог: Южный федеральный университет, 2025. – ISBN 978-5-9275-4958-0. – EDN UCHYYN</w:t>
      </w:r>
    </w:p>
    <w:sectPr w:rsidR="00335504" w:rsidRPr="004B48A7" w:rsidSect="006D4F9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5EE" w:rsidRDefault="00FD55EE">
      <w:r>
        <w:separator/>
      </w:r>
    </w:p>
  </w:endnote>
  <w:endnote w:type="continuationSeparator" w:id="0">
    <w:p w:rsidR="00FD55EE" w:rsidRDefault="00FD5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any AMT">
    <w:altName w:val="Arial"/>
    <w:charset w:val="00"/>
    <w:family w:val="swiss"/>
    <w:pitch w:val="variable"/>
    <w:sig w:usb0="00000000" w:usb1="00000000" w:usb2="00000000" w:usb3="00000000" w:csb0="00000000" w:csb1="00000000"/>
  </w:font>
  <w:font w:name="Lucida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font117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34A" w:rsidRDefault="00AB68E7" w:rsidP="00E171A4">
    <w:pPr>
      <w:pStyle w:val="aff1"/>
      <w:jc w:val="center"/>
    </w:pPr>
    <w:r>
      <w:fldChar w:fldCharType="begin"/>
    </w:r>
    <w:r w:rsidR="004C734A">
      <w:instrText xml:space="preserve"> PAGE   \* MERGEFORMAT </w:instrText>
    </w:r>
    <w:r>
      <w:fldChar w:fldCharType="separate"/>
    </w:r>
    <w:r w:rsidR="00A1496D">
      <w:rPr>
        <w:noProof/>
      </w:rPr>
      <w:t>4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5EE" w:rsidRDefault="00FD55EE">
      <w:r>
        <w:separator/>
      </w:r>
    </w:p>
  </w:footnote>
  <w:footnote w:type="continuationSeparator" w:id="0">
    <w:p w:rsidR="00FD55EE" w:rsidRDefault="00FD55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57F0" w:rsidRDefault="00A457F0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2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6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7"/>
  </w:num>
  <w:num w:numId="4">
    <w:abstractNumId w:val="21"/>
  </w:num>
  <w:num w:numId="5">
    <w:abstractNumId w:val="10"/>
  </w:num>
  <w:num w:numId="6">
    <w:abstractNumId w:val="6"/>
  </w:num>
  <w:num w:numId="7">
    <w:abstractNumId w:val="22"/>
  </w:num>
  <w:num w:numId="8">
    <w:abstractNumId w:val="9"/>
  </w:num>
  <w:num w:numId="9">
    <w:abstractNumId w:val="19"/>
  </w:num>
  <w:num w:numId="10">
    <w:abstractNumId w:val="11"/>
  </w:num>
  <w:num w:numId="11">
    <w:abstractNumId w:val="13"/>
  </w:num>
  <w:num w:numId="12">
    <w:abstractNumId w:val="18"/>
  </w:num>
  <w:num w:numId="13">
    <w:abstractNumId w:val="15"/>
  </w:num>
  <w:num w:numId="14">
    <w:abstractNumId w:val="7"/>
  </w:num>
  <w:num w:numId="15">
    <w:abstractNumId w:val="5"/>
  </w:num>
  <w:num w:numId="16">
    <w:abstractNumId w:val="12"/>
  </w:num>
  <w:num w:numId="17">
    <w:abstractNumId w:val="8"/>
  </w:num>
  <w:num w:numId="18">
    <w:abstractNumId w:val="1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activeWritingStyle w:appName="MSWord" w:lang="ru-RU" w:vendorID="1" w:dllVersion="512" w:checkStyle="1"/>
  <w:proofState w:spelling="clean" w:grammar="clean"/>
  <w:stylePaneFormatFilter w:val="3F01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6610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5504"/>
    <w:rsid w:val="00336674"/>
    <w:rsid w:val="003429D9"/>
    <w:rsid w:val="00344500"/>
    <w:rsid w:val="00344C6F"/>
    <w:rsid w:val="003450B5"/>
    <w:rsid w:val="00345CA9"/>
    <w:rsid w:val="00346F51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C7E90"/>
    <w:rsid w:val="004D23CD"/>
    <w:rsid w:val="004D2770"/>
    <w:rsid w:val="004D332C"/>
    <w:rsid w:val="004D45C9"/>
    <w:rsid w:val="004D4E70"/>
    <w:rsid w:val="004D5296"/>
    <w:rsid w:val="004D548F"/>
    <w:rsid w:val="004D6A02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0E87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5F45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895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141"/>
    <w:rsid w:val="008D4B5F"/>
    <w:rsid w:val="008D510D"/>
    <w:rsid w:val="008D7040"/>
    <w:rsid w:val="008D76DE"/>
    <w:rsid w:val="008E092D"/>
    <w:rsid w:val="008E2243"/>
    <w:rsid w:val="008E2450"/>
    <w:rsid w:val="008E42A9"/>
    <w:rsid w:val="008E56FF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15EC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6A78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5B1A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8A4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496D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B68E7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3F15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0924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E7963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320F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0AE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195F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4846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5EE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styleId="ad">
    <w:name w:val="Title"/>
    <w:basedOn w:val="a6"/>
    <w:next w:val="ae"/>
    <w:link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styleId="ae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styleId="af2">
    <w:name w:val="Normal (Web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e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Heading1">
    <w:name w:val="Heading 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e"/>
    <w:next w:val="ae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basedOn w:val="26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29">
    <w:name w:val="Обычный (веб)2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e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customStyle="1" w:styleId="1f4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0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f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1">
    <w:name w:val="endnote text"/>
    <w:basedOn w:val="a6"/>
    <w:link w:val="afffff2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2">
    <w:name w:val="Текст концевой сноски Знак"/>
    <w:link w:val="afffff1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3">
    <w:name w:val="Signature"/>
    <w:basedOn w:val="a6"/>
    <w:link w:val="afffff4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4">
    <w:name w:val="Подпись Знак"/>
    <w:link w:val="afffff3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5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5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6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7">
    <w:name w:val="Рисунок"/>
    <w:basedOn w:val="ad"/>
    <w:rsid w:val="00DF4446"/>
    <w:pPr>
      <w:suppressLineNumbers/>
      <w:spacing w:before="120"/>
    </w:pPr>
    <w:rPr>
      <w:rFonts w:ascii="Liberation Serif" w:eastAsia="DejaVu LGC Sans" w:hAnsi="Liberation Serif"/>
      <w:i/>
      <w:iCs/>
    </w:rPr>
  </w:style>
  <w:style w:type="paragraph" w:customStyle="1" w:styleId="afffff8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9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a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b">
    <w:name w:val="Литература_заг"/>
    <w:basedOn w:val="a6"/>
    <w:next w:val="afffffa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6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c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d">
    <w:name w:val="Table Grid"/>
    <w:basedOn w:val="a8"/>
    <w:uiPriority w:val="59"/>
    <w:rsid w:val="009F1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e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jpeg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92521-901A-40FB-8A27-E6647AC2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creator>Prohorova</dc:creator>
  <cp:lastModifiedBy>1</cp:lastModifiedBy>
  <cp:revision>12</cp:revision>
  <cp:lastPrinted>2010-04-02T15:51:00Z</cp:lastPrinted>
  <dcterms:created xsi:type="dcterms:W3CDTF">2026-03-15T11:45:00Z</dcterms:created>
  <dcterms:modified xsi:type="dcterms:W3CDTF">2026-03-17T17:36:00Z</dcterms:modified>
</cp:coreProperties>
</file>