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3487F" w14:textId="77777777" w:rsidR="00CE7CEF" w:rsidRPr="00CE7CEF" w:rsidRDefault="00CE7CEF" w:rsidP="00CE7CEF">
      <w:pPr>
        <w:pStyle w:val="1"/>
        <w:keepNext w:val="0"/>
        <w:keepLines w:val="0"/>
        <w:pageBreakBefore/>
        <w:pBdr>
          <w:left w:val="single" w:sz="4" w:space="4" w:color="auto"/>
          <w:bottom w:val="single" w:sz="4" w:space="1" w:color="auto"/>
        </w:pBdr>
        <w:spacing w:before="0" w:after="60" w:line="240" w:lineRule="auto"/>
        <w:rPr>
          <w:rFonts w:ascii="Arial" w:eastAsia="Times New Roman" w:hAnsi="Arial" w:cs="Arial"/>
          <w:b/>
          <w:bCs/>
          <w:color w:val="auto"/>
          <w:spacing w:val="12"/>
          <w:kern w:val="36"/>
          <w:position w:val="6"/>
          <w:sz w:val="28"/>
          <w:szCs w:val="48"/>
          <w:u w:color="FF0000"/>
          <w:lang w:eastAsia="ru-RU"/>
          <w14:ligatures w14:val="none"/>
        </w:rPr>
      </w:pPr>
      <w:r w:rsidRPr="00CE7CEF">
        <w:rPr>
          <w:rFonts w:ascii="Arial" w:eastAsia="Times New Roman" w:hAnsi="Arial" w:cs="Arial"/>
          <w:b/>
          <w:bCs/>
          <w:color w:val="auto"/>
          <w:spacing w:val="12"/>
          <w:kern w:val="36"/>
          <w:position w:val="6"/>
          <w:sz w:val="28"/>
          <w:szCs w:val="48"/>
          <w:u w:color="FF0000"/>
          <w:lang w:eastAsia="ru-RU"/>
          <w14:ligatures w14:val="none"/>
        </w:rPr>
        <w:t>Экосистема ИТ-образования: структура, участники и особенности развития (на примере российских образовательных платформ)</w:t>
      </w:r>
    </w:p>
    <w:p w14:paraId="7231130A" w14:textId="77777777" w:rsidR="00CE7CEF" w:rsidRPr="00CE7CEF" w:rsidRDefault="00CE7CEF" w:rsidP="00CE7CEF">
      <w:pPr>
        <w:pStyle w:val="2"/>
        <w:keepLines w:val="0"/>
        <w:spacing w:before="0" w:after="0" w:line="240" w:lineRule="auto"/>
        <w:ind w:left="540"/>
        <w:rPr>
          <w:rFonts w:ascii="Arial" w:eastAsia="Times New Roman" w:hAnsi="Arial" w:cs="Times New Roman"/>
          <w:b/>
          <w:bCs/>
          <w:color w:val="auto"/>
          <w:kern w:val="0"/>
          <w:sz w:val="28"/>
          <w:szCs w:val="28"/>
          <w:u w:color="FF0000"/>
          <w:lang w:eastAsia="ru-RU"/>
          <w14:ligatures w14:val="none"/>
        </w:rPr>
      </w:pPr>
      <w:r w:rsidRPr="00CE7CEF">
        <w:rPr>
          <w:rFonts w:ascii="Arial" w:eastAsia="Times New Roman" w:hAnsi="Arial" w:cs="Times New Roman"/>
          <w:b/>
          <w:bCs/>
          <w:color w:val="auto"/>
          <w:kern w:val="0"/>
          <w:sz w:val="28"/>
          <w:szCs w:val="28"/>
          <w:u w:color="FF0000"/>
          <w:lang w:eastAsia="ru-RU"/>
          <w14:ligatures w14:val="none"/>
        </w:rPr>
        <w:t>Мышкова Ангелина Станиславовна</w:t>
      </w:r>
    </w:p>
    <w:p w14:paraId="5FB45DD8" w14:textId="77777777" w:rsidR="00CE7CEF" w:rsidRPr="00CE7CEF" w:rsidRDefault="00CE7CEF" w:rsidP="00CE7CEF">
      <w:pPr>
        <w:pStyle w:val="4"/>
        <w:keepLines w:val="0"/>
        <w:widowControl w:val="0"/>
        <w:overflowPunct w:val="0"/>
        <w:autoSpaceDE w:val="0"/>
        <w:autoSpaceDN w:val="0"/>
        <w:adjustRightInd w:val="0"/>
        <w:spacing w:before="0" w:after="0" w:line="240" w:lineRule="auto"/>
        <w:ind w:firstLine="567"/>
        <w:rPr>
          <w:rFonts w:ascii="Arial" w:eastAsia="Times New Roman" w:hAnsi="Arial" w:cs="Arial"/>
          <w:color w:val="auto"/>
          <w:kern w:val="0"/>
          <w:sz w:val="28"/>
          <w:szCs w:val="26"/>
          <w:u w:color="FF0000"/>
          <w:lang w:eastAsia="ru-RU"/>
          <w14:ligatures w14:val="none"/>
        </w:rPr>
      </w:pPr>
      <w:r w:rsidRPr="00CE7CEF">
        <w:rPr>
          <w:rFonts w:ascii="Arial" w:eastAsia="Times New Roman" w:hAnsi="Arial" w:cs="Arial"/>
          <w:color w:val="auto"/>
          <w:kern w:val="0"/>
          <w:sz w:val="28"/>
          <w:szCs w:val="26"/>
          <w:u w:color="FF0000"/>
          <w:lang w:eastAsia="ru-RU"/>
          <w14:ligatures w14:val="none"/>
        </w:rPr>
        <w:t>ФГАОУ ВО «Южный федеральный университет»,</w:t>
      </w:r>
    </w:p>
    <w:p w14:paraId="25810103" w14:textId="77777777" w:rsidR="00CE7CEF" w:rsidRPr="00CE7CEF" w:rsidRDefault="00CE7CEF" w:rsidP="00CE7CEF">
      <w:pPr>
        <w:pStyle w:val="4"/>
        <w:keepLines w:val="0"/>
        <w:widowControl w:val="0"/>
        <w:overflowPunct w:val="0"/>
        <w:autoSpaceDE w:val="0"/>
        <w:autoSpaceDN w:val="0"/>
        <w:adjustRightInd w:val="0"/>
        <w:spacing w:before="0" w:after="0" w:line="240" w:lineRule="auto"/>
        <w:ind w:left="567"/>
        <w:rPr>
          <w:rFonts w:ascii="Arial" w:eastAsia="Times New Roman" w:hAnsi="Arial" w:cs="Arial"/>
          <w:color w:val="auto"/>
          <w:kern w:val="0"/>
          <w:sz w:val="28"/>
          <w:szCs w:val="26"/>
          <w:u w:color="FF0000"/>
          <w:lang w:eastAsia="ru-RU"/>
          <w14:ligatures w14:val="none"/>
        </w:rPr>
      </w:pPr>
      <w:r w:rsidRPr="00CE7CEF">
        <w:rPr>
          <w:rFonts w:ascii="Arial" w:eastAsia="Times New Roman" w:hAnsi="Arial" w:cs="Arial"/>
          <w:color w:val="auto"/>
          <w:kern w:val="0"/>
          <w:sz w:val="28"/>
          <w:szCs w:val="26"/>
          <w:u w:color="FF0000"/>
          <w:lang w:eastAsia="ru-RU"/>
          <w14:ligatures w14:val="none"/>
        </w:rPr>
        <w:t xml:space="preserve">Институт математики, механики и компьютерных наук им. </w:t>
      </w:r>
      <w:proofErr w:type="gramStart"/>
      <w:r w:rsidRPr="00CE7CEF">
        <w:rPr>
          <w:rFonts w:ascii="Arial" w:eastAsia="Times New Roman" w:hAnsi="Arial" w:cs="Arial"/>
          <w:color w:val="auto"/>
          <w:kern w:val="0"/>
          <w:sz w:val="28"/>
          <w:szCs w:val="26"/>
          <w:u w:color="FF0000"/>
          <w:lang w:eastAsia="ru-RU"/>
          <w14:ligatures w14:val="none"/>
        </w:rPr>
        <w:t>И.И.</w:t>
      </w:r>
      <w:proofErr w:type="gramEnd"/>
      <w:r w:rsidRPr="00CE7CEF">
        <w:rPr>
          <w:rFonts w:ascii="Arial" w:eastAsia="Times New Roman" w:hAnsi="Arial" w:cs="Arial"/>
          <w:color w:val="auto"/>
          <w:kern w:val="0"/>
          <w:sz w:val="28"/>
          <w:szCs w:val="26"/>
          <w:u w:color="FF0000"/>
          <w:lang w:eastAsia="ru-RU"/>
          <w14:ligatures w14:val="none"/>
        </w:rPr>
        <w:t xml:space="preserve"> </w:t>
      </w:r>
      <w:proofErr w:type="spellStart"/>
      <w:r w:rsidRPr="00CE7CEF">
        <w:rPr>
          <w:rFonts w:ascii="Arial" w:eastAsia="Times New Roman" w:hAnsi="Arial" w:cs="Arial"/>
          <w:color w:val="auto"/>
          <w:kern w:val="0"/>
          <w:sz w:val="28"/>
          <w:szCs w:val="26"/>
          <w:u w:color="FF0000"/>
          <w:lang w:eastAsia="ru-RU"/>
          <w14:ligatures w14:val="none"/>
        </w:rPr>
        <w:t>Воровича</w:t>
      </w:r>
      <w:proofErr w:type="spellEnd"/>
      <w:r w:rsidRPr="00CE7CEF">
        <w:rPr>
          <w:rFonts w:ascii="Arial" w:eastAsia="Times New Roman" w:hAnsi="Arial" w:cs="Arial"/>
          <w:color w:val="auto"/>
          <w:kern w:val="0"/>
          <w:sz w:val="28"/>
          <w:szCs w:val="26"/>
          <w:u w:color="FF0000"/>
          <w:lang w:eastAsia="ru-RU"/>
          <w14:ligatures w14:val="none"/>
        </w:rPr>
        <w:t xml:space="preserve">, </w:t>
      </w:r>
      <w:proofErr w:type="spellStart"/>
      <w:r w:rsidRPr="00CE7CEF">
        <w:rPr>
          <w:rFonts w:ascii="Arial" w:eastAsia="Times New Roman" w:hAnsi="Arial" w:cs="Arial"/>
          <w:color w:val="auto"/>
          <w:kern w:val="0"/>
          <w:sz w:val="28"/>
          <w:szCs w:val="26"/>
          <w:u w:color="FF0000"/>
          <w:lang w:eastAsia="ru-RU"/>
          <w14:ligatures w14:val="none"/>
        </w:rPr>
        <w:t>Ростов</w:t>
      </w:r>
      <w:proofErr w:type="spellEnd"/>
      <w:r w:rsidRPr="00CE7CEF">
        <w:rPr>
          <w:rFonts w:ascii="Arial" w:eastAsia="Times New Roman" w:hAnsi="Arial" w:cs="Arial"/>
          <w:color w:val="auto"/>
          <w:kern w:val="0"/>
          <w:sz w:val="28"/>
          <w:szCs w:val="26"/>
          <w:u w:color="FF0000"/>
          <w:lang w:eastAsia="ru-RU"/>
          <w14:ligatures w14:val="none"/>
        </w:rPr>
        <w:t>-на-Дону</w:t>
      </w:r>
    </w:p>
    <w:p w14:paraId="611085E3" w14:textId="77777777" w:rsidR="00CE7CEF" w:rsidRPr="00CE7CEF" w:rsidRDefault="00CE7CEF" w:rsidP="00CE7CEF">
      <w:pPr>
        <w:pStyle w:val="Email"/>
        <w:rPr>
          <w:lang w:val="ru-RU"/>
        </w:rPr>
      </w:pPr>
      <w:r w:rsidRPr="00144125">
        <w:t>E</w:t>
      </w:r>
      <w:r w:rsidRPr="00CE7CEF">
        <w:rPr>
          <w:lang w:val="ru-RU"/>
        </w:rPr>
        <w:t>-</w:t>
      </w:r>
      <w:r w:rsidRPr="00144125">
        <w:t>mail</w:t>
      </w:r>
      <w:r w:rsidRPr="00CE7CEF">
        <w:rPr>
          <w:lang w:val="ru-RU"/>
        </w:rPr>
        <w:t xml:space="preserve"> </w:t>
      </w:r>
      <w:proofErr w:type="spellStart"/>
      <w:r>
        <w:t>myshkova</w:t>
      </w:r>
      <w:proofErr w:type="spellEnd"/>
      <w:r w:rsidRPr="00CE7CEF">
        <w:rPr>
          <w:lang w:val="ru-RU"/>
        </w:rPr>
        <w:t>@</w:t>
      </w:r>
      <w:proofErr w:type="spellStart"/>
      <w:r>
        <w:t>sfedu</w:t>
      </w:r>
      <w:proofErr w:type="spellEnd"/>
      <w:r w:rsidRPr="00CE7CEF">
        <w:rPr>
          <w:lang w:val="ru-RU"/>
        </w:rPr>
        <w:t>.</w:t>
      </w:r>
      <w:proofErr w:type="spellStart"/>
      <w:r>
        <w:t>ru</w:t>
      </w:r>
      <w:proofErr w:type="spellEnd"/>
    </w:p>
    <w:p w14:paraId="51ED3F56" w14:textId="77777777" w:rsidR="00CE7CEF" w:rsidRPr="003206DF" w:rsidRDefault="00CE7CEF" w:rsidP="00CE7CEF">
      <w:pPr>
        <w:pStyle w:val="ac"/>
      </w:pPr>
      <w:r>
        <w:t>Современный этап развития общества характеризуется глубинной цифровой трансформацией социальных институтов, среди которых система образования подвергается наиболее существенным изменениям. Как отмечает Н. А. Рязанцева, цифровая трансформация высшего образования представляет собой не просто внедрение информационных и коммуникационных технологий (ИКТ), а системный процесс перестройки образовательной экосистемы, направленный на изменение содержания, методов и организационных форм обучения [1, с. 168]. Термин «экосистема» в данном контексте заимствован из биологии и призван подчеркнуть сложность, динамичность и взаимосвязанность всех элементов цифровой образовательной среды</w:t>
      </w:r>
      <w:r w:rsidRPr="003206DF">
        <w:t>.</w:t>
      </w:r>
    </w:p>
    <w:p w14:paraId="15A3B956" w14:textId="2B25AC26" w:rsidR="00CE7CEF" w:rsidRDefault="00CE7CEF" w:rsidP="00CE7CEF">
      <w:pPr>
        <w:pStyle w:val="ac"/>
      </w:pPr>
      <w:r>
        <w:t>Раскрывая содержание данного понятия, следует отметить, что образовательная экосистема в контексте ИТ представляет собой преобразующую сеть цифровых технологий, интегрированных для повышения результативности преподавания, обучения и администрирования в различных образовательных контекстах. Данная экосистема объединяет цифровые обучающие платформы (Learning Management System, LMS), поставщиков контента, аналитические системы (Learning Analytics), средства коммуникации и технологии искусственного интеллекта, создавая тем самым условия для персонализированного и масштабируемого образовательного процесса. Как указывает И.</w:t>
      </w:r>
      <w:r w:rsidR="00D42B98">
        <w:t> </w:t>
      </w:r>
      <w:r>
        <w:t>В.</w:t>
      </w:r>
      <w:r w:rsidR="00D42B98">
        <w:t> </w:t>
      </w:r>
      <w:proofErr w:type="spellStart"/>
      <w:r>
        <w:t>Полоников</w:t>
      </w:r>
      <w:proofErr w:type="spellEnd"/>
      <w:r>
        <w:t xml:space="preserve">, </w:t>
      </w:r>
      <w:proofErr w:type="spellStart"/>
      <w:r>
        <w:t>EdTech</w:t>
      </w:r>
      <w:proofErr w:type="spellEnd"/>
      <w:r>
        <w:t xml:space="preserve"> сегодня следует рассматривать как динамичную экосистему, объединяющую цифровизацию управления, персонализированное обучение и адаптацию организационной культуры [2, с. 12].</w:t>
      </w:r>
    </w:p>
    <w:p w14:paraId="5E4B8467" w14:textId="21646E74" w:rsidR="00CE7CEF" w:rsidRDefault="00CE7CEF" w:rsidP="00CE7CEF">
      <w:pPr>
        <w:pStyle w:val="ac"/>
      </w:pPr>
      <w:r>
        <w:t xml:space="preserve">В связи с переходом образования на цифровые носители значимость экосистемного подхода актуализируется его способностью стимулировать инновации в секторе образовательных технологий, что делает данное направление приоритетной областью научного изучения и инвестирования [3]. Более того, архитектура современных информационно-образовательных систем претерпевает эволюцию от монолитных решений к гибким </w:t>
      </w:r>
      <w:proofErr w:type="spellStart"/>
      <w:r>
        <w:t>микросервисным</w:t>
      </w:r>
      <w:proofErr w:type="spellEnd"/>
      <w:r>
        <w:t xml:space="preserve"> структурам, базирующимся на принципах </w:t>
      </w:r>
      <w:proofErr w:type="spellStart"/>
      <w:r>
        <w:t>интероперабельности</w:t>
      </w:r>
      <w:proofErr w:type="spellEnd"/>
      <w:r>
        <w:t xml:space="preserve"> и открытых стандартах [4].</w:t>
      </w:r>
      <w:r>
        <w:t xml:space="preserve"> Таким образом, </w:t>
      </w:r>
      <w:r>
        <w:lastRenderedPageBreak/>
        <w:t>архитектурные решения образовательных систем</w:t>
      </w:r>
      <w:r w:rsidR="00B52EF5">
        <w:t xml:space="preserve"> (особенно в области ИКТ)</w:t>
      </w:r>
      <w:r>
        <w:t xml:space="preserve">, меняясь под воздействием процессов информатизации и цифровой трансформации, также оказываются тесно связанными с изменениями в экономической сфере, учитывая в том числе, и процесс реализации устойчивого </w:t>
      </w:r>
      <w:r w:rsidR="00B52EF5">
        <w:t xml:space="preserve">развития </w:t>
      </w:r>
      <w:r>
        <w:t>в экономике (</w:t>
      </w:r>
      <w:r>
        <w:rPr>
          <w:lang w:val="en-US"/>
        </w:rPr>
        <w:t>ESG</w:t>
      </w:r>
      <w:r>
        <w:t>-подхода).</w:t>
      </w:r>
    </w:p>
    <w:p w14:paraId="6F4D837D" w14:textId="6E9266E1" w:rsidR="00CE7CEF" w:rsidRDefault="00CE7CEF" w:rsidP="00CE7CEF">
      <w:pPr>
        <w:pStyle w:val="ac"/>
      </w:pPr>
      <w:r>
        <w:t>Так</w:t>
      </w:r>
      <w:r w:rsidR="00B52EF5">
        <w:t>, с одной стороны,</w:t>
      </w:r>
      <w:r>
        <w:t xml:space="preserve"> экосистем</w:t>
      </w:r>
      <w:r w:rsidR="00B52EF5">
        <w:t>а</w:t>
      </w:r>
      <w:r>
        <w:t xml:space="preserve"> </w:t>
      </w:r>
      <w:r w:rsidR="00B52EF5">
        <w:t xml:space="preserve">ИТ-образования способствует появлению новых «профессий» – от методологов и кураторов онлайн курсов до специалистов в области анализа больших данных обучающихся в цифровой среде, производителей цифрового образовательного контента и архитекторов цифровых образовательных сред.  С другой стороны, процесс обучения и развития, частично или полностью реализуемый в цифровой среде </w:t>
      </w:r>
      <w:proofErr w:type="gramStart"/>
      <w:r w:rsidR="00B52EF5">
        <w:t>при массовом подходе</w:t>
      </w:r>
      <w:proofErr w:type="gramEnd"/>
      <w:r w:rsidR="00B52EF5">
        <w:t xml:space="preserve"> меняет экономические процессы, связанные с колледжами, вузами, учреждениями дополнительного образования: например, автоматизация «поддерживающих» процессов администрирования и управления учреждением, контингентом, документооборотом при помощи </w:t>
      </w:r>
      <w:proofErr w:type="spellStart"/>
      <w:r w:rsidR="00B52EF5">
        <w:t>автоматизировнных</w:t>
      </w:r>
      <w:proofErr w:type="spellEnd"/>
      <w:r w:rsidR="00B52EF5">
        <w:t xml:space="preserve"> информационных систем снижает издержки. Если рассматривать </w:t>
      </w:r>
      <w:r w:rsidR="00B52EF5" w:rsidRPr="00B52EF5">
        <w:t xml:space="preserve">переход </w:t>
      </w:r>
      <w:r w:rsidR="00B52EF5" w:rsidRPr="00B52EF5">
        <w:t xml:space="preserve">к онлайн-обучению </w:t>
      </w:r>
      <w:r w:rsidR="00B52EF5">
        <w:t xml:space="preserve">с точки зрения </w:t>
      </w:r>
      <w:r w:rsidR="00A15C4F">
        <w:t xml:space="preserve">реализации </w:t>
      </w:r>
      <w:r w:rsidR="00A15C4F">
        <w:rPr>
          <w:lang w:val="en-US"/>
        </w:rPr>
        <w:t>ESG</w:t>
      </w:r>
      <w:r w:rsidR="00A15C4F">
        <w:t xml:space="preserve">-подхода, то </w:t>
      </w:r>
      <w:r w:rsidR="00B52EF5" w:rsidRPr="00B52EF5">
        <w:t>отказ от избыточных печатных материалов объективно снижают нагрузку на природные ресурсы</w:t>
      </w:r>
      <w:r w:rsidR="00A15C4F">
        <w:t>, д</w:t>
      </w:r>
      <w:r w:rsidR="00B52EF5" w:rsidRPr="00B52EF5">
        <w:t>истанционные форматы минимизируют транспортные выбросы углекислого газа, связанные с ежедневными поездками обучающихся и преподавателей [3].</w:t>
      </w:r>
    </w:p>
    <w:p w14:paraId="32D05805" w14:textId="77777777" w:rsidR="00B77D6C" w:rsidRDefault="00B77D6C" w:rsidP="00B77D6C">
      <w:pPr>
        <w:pStyle w:val="ac"/>
      </w:pPr>
      <w:r>
        <w:t>Описанные выше экономические и экологические эффекты были бы невозможны без качественного технологического базиса, который обеспечивает функционирование ИТ-экосистем. Рассмотрим ключевые технологические драйверы их развития. Технологический базис экосистемы ИТ-образования формируется на стыке нескольких прорывных направлений. Ключевую роль играют технологии искусственного интеллекта, обеспечивающие адаптивное обучение и построение индивидуальных образовательных траекторий на основе анализа «больших данных» об успеваемости учащихся, их поведении в образовательной среде [1, с. 171]. Облачные вычисления позволяют учебным заведениям эффективно масштабировать свои сервисы без капитальных затрат на собственную инфраструктуру, обеспечивая доступ к качественному образованию для широкой аудитории вне зависимости от географического положения [3].</w:t>
      </w:r>
    </w:p>
    <w:p w14:paraId="7DCD82A1" w14:textId="77777777" w:rsidR="00B77D6C" w:rsidRDefault="00B77D6C" w:rsidP="00B77D6C">
      <w:pPr>
        <w:pStyle w:val="ac"/>
      </w:pPr>
      <w:r>
        <w:t xml:space="preserve">Существенное значение приобретают технологии погружения: виртуальная (VR) и дополненная (AR) реальность, а также симуляционные тренажеры. Данные инструменты трансформируют процесс обучения, позволяя моделировать практические ситуации в безопасной цифровой среде, что особенно востребовано при подготовке ИТ-специалистов и инженерных кадров [4]. Кроме того, развитие специализированных </w:t>
      </w:r>
      <w:r>
        <w:lastRenderedPageBreak/>
        <w:t xml:space="preserve">стандартов, например, </w:t>
      </w:r>
      <w:proofErr w:type="spellStart"/>
      <w:r>
        <w:t>xAPI</w:t>
      </w:r>
      <w:proofErr w:type="spellEnd"/>
      <w:r>
        <w:t xml:space="preserve"> (Experience API), позволяет фиксировать и анализировать разнообразные учебные активности за пределами традиционных LMS, создавая «цифровой след» обучающегося и обеспечивая преемственность образовательного процесса на протяжении всей жизни (</w:t>
      </w:r>
      <w:proofErr w:type="spellStart"/>
      <w:r>
        <w:t>Lifelong</w:t>
      </w:r>
      <w:proofErr w:type="spellEnd"/>
      <w:r>
        <w:t xml:space="preserve"> Learning) [1, с. 172].</w:t>
      </w:r>
    </w:p>
    <w:p w14:paraId="501955A2" w14:textId="77777777" w:rsidR="00B77D6C" w:rsidRDefault="00B77D6C" w:rsidP="00B77D6C">
      <w:pPr>
        <w:pStyle w:val="ac"/>
      </w:pPr>
      <w:r>
        <w:t xml:space="preserve">Развитие перечисленных технологий и стандартов было бы невозможно без активной роли конкретных рыночных игроков. Технологические корпорации и </w:t>
      </w:r>
      <w:proofErr w:type="spellStart"/>
      <w:r>
        <w:t>EdTech</w:t>
      </w:r>
      <w:proofErr w:type="spellEnd"/>
      <w:r>
        <w:t xml:space="preserve">-компании формируют инфраструктурный каркас экосистемы, а их стратегическое взаимодействие с образовательными учреждениями определяет векторы её развития. Рынок ИТ-образования характеризуется сложной структурой взаимодействия различных акторов. Крупные технологические корпорации, такие как Cisco Systems Inc., Oracle Corp., ПАО «Ростелеком», Яндекс (Yandex </w:t>
      </w:r>
      <w:proofErr w:type="spellStart"/>
      <w:r>
        <w:t>Cloud</w:t>
      </w:r>
      <w:proofErr w:type="spellEnd"/>
      <w:r>
        <w:t xml:space="preserve">) выступают в роли поставщиков базовой инфраструктуры и программных платформ, формирующих фундамент экосистемы [3], которыми пользуются компании, продуцирующие образовательный контент и реализующие образовательный процесс. Наряду с ними функционируют специализированные </w:t>
      </w:r>
      <w:proofErr w:type="spellStart"/>
      <w:r>
        <w:t>EdTech</w:t>
      </w:r>
      <w:proofErr w:type="spellEnd"/>
      <w:r>
        <w:t xml:space="preserve">-компании: D2L Inc., </w:t>
      </w:r>
      <w:proofErr w:type="spellStart"/>
      <w:r>
        <w:t>Ellucian</w:t>
      </w:r>
      <w:proofErr w:type="spellEnd"/>
      <w:r>
        <w:t xml:space="preserve"> Co., а также многочисленные отечественные разработчики, создающие системы управления обучением (LMS) и интерактивные образовательные среды.</w:t>
      </w:r>
    </w:p>
    <w:p w14:paraId="25198E3E" w14:textId="77777777" w:rsidR="00B77D6C" w:rsidRDefault="00B77D6C" w:rsidP="00B77D6C">
      <w:pPr>
        <w:pStyle w:val="ac"/>
      </w:pPr>
      <w:r>
        <w:t>Широкое распространение получила практика стратегических альянсов между технологическими компаниями и образовательными учреждениями. Подобное сотрудничество нацелено на внедрение интегрированных платформ обучения и реализацию концепции «умного кампуса» (</w:t>
      </w:r>
      <w:proofErr w:type="spellStart"/>
      <w:r>
        <w:t>smart</w:t>
      </w:r>
      <w:proofErr w:type="spellEnd"/>
      <w:r>
        <w:t xml:space="preserve"> </w:t>
      </w:r>
      <w:proofErr w:type="spellStart"/>
      <w:r>
        <w:t>campus</w:t>
      </w:r>
      <w:proofErr w:type="spellEnd"/>
      <w:r>
        <w:t>), объединяющего в единую сеть административные, академические и исследовательские процессы вуза [1, с. 172; 4]. Как отмечается в зарубежных исследованиях, экосистемный подход в управлении университетом становится предпосылкой создания взаимовыгодных условий для непрерывного образования, однако анализ выявляет существенное цифровое инфраструктурное неравенство между различными типами образовательных учреждений [3, с. 95].</w:t>
      </w:r>
    </w:p>
    <w:p w14:paraId="60729473" w14:textId="54D10555" w:rsidR="00B77D6C" w:rsidRDefault="00B77D6C" w:rsidP="00B77D6C">
      <w:pPr>
        <w:pStyle w:val="ac"/>
      </w:pPr>
      <w:r>
        <w:t xml:space="preserve">Наряду с международными корпорациями, существенный вклад в формирование образовательной экосистемы вносят отечественные </w:t>
      </w:r>
      <w:proofErr w:type="spellStart"/>
      <w:r>
        <w:t>EdTech</w:t>
      </w:r>
      <w:proofErr w:type="spellEnd"/>
      <w:r>
        <w:t>-платформы, адаптированные к реалиям российского рынка и системы образования. Проведем их сравнительный анализ по ряду ключевых критериев. Ниже представлен краткий обзор пяти платформ,</w:t>
      </w:r>
      <w:r>
        <w:t xml:space="preserve"> ориентированных на обучение в области цифровых технологий и</w:t>
      </w:r>
      <w:r>
        <w:t xml:space="preserve"> отобранных для первичного анализа</w:t>
      </w:r>
      <w:r>
        <w:t xml:space="preserve"> цифровые решений для ИТ-образования</w:t>
      </w:r>
      <w:r>
        <w:t xml:space="preserve">. Рассмотрим специфику каждой из отобранных платформ, акцентируя внимание на их </w:t>
      </w:r>
      <w:r>
        <w:t xml:space="preserve">концепции, </w:t>
      </w:r>
      <w:r>
        <w:t xml:space="preserve">конкурентных преимуществах и </w:t>
      </w:r>
      <w:r>
        <w:t>недостатках, которые могут быть трансформированы в зоны роста</w:t>
      </w:r>
      <w:r>
        <w:t>.</w:t>
      </w:r>
    </w:p>
    <w:p w14:paraId="11FD69A0" w14:textId="77777777" w:rsidR="00A4022C" w:rsidRDefault="00A4022C" w:rsidP="00A4022C">
      <w:pPr>
        <w:pStyle w:val="ac"/>
        <w:tabs>
          <w:tab w:val="left" w:pos="1418"/>
        </w:tabs>
      </w:pPr>
    </w:p>
    <w:p w14:paraId="6106B4D0" w14:textId="4A34CFCF" w:rsidR="009A7785" w:rsidRDefault="00A4022C" w:rsidP="00A4022C">
      <w:pPr>
        <w:pStyle w:val="ac"/>
        <w:ind w:firstLine="0"/>
      </w:pPr>
      <w:r>
        <w:lastRenderedPageBreak/>
        <w:t xml:space="preserve"> 1. </w:t>
      </w:r>
      <w:r w:rsidR="00B77D6C">
        <w:t>«Школа 21 от Сбера» - дополнительное образование для взрослых</w:t>
      </w:r>
    </w:p>
    <w:p w14:paraId="16EB93E1" w14:textId="74396526" w:rsidR="00B77D6C" w:rsidRDefault="00B77D6C" w:rsidP="00A4022C">
      <w:pPr>
        <w:pStyle w:val="ac"/>
        <w:ind w:left="567" w:firstLine="0"/>
      </w:pPr>
      <w:r>
        <w:t>Концепция: ключевой подход «равный-равному» (</w:t>
      </w:r>
      <w:r w:rsidRPr="00A4022C">
        <w:t>peer</w:t>
      </w:r>
      <w:r w:rsidRPr="00B77D6C">
        <w:t>-</w:t>
      </w:r>
      <w:r w:rsidRPr="00A4022C">
        <w:t>to</w:t>
      </w:r>
      <w:r w:rsidRPr="00B77D6C">
        <w:t>-</w:t>
      </w:r>
      <w:r w:rsidRPr="00A4022C">
        <w:t>peer</w:t>
      </w:r>
      <w:r w:rsidRPr="00B77D6C">
        <w:t>)</w:t>
      </w:r>
      <w:r>
        <w:t>, когда через решение кейсов от будущих работодателей обучающиеся работают в тесном сотрудничестве между собой, наращивают свои знания, умения и опыт, но при этом активно ими обмениваются; в электронной системе есть эксперты для координирования деятельности, выдачи кейсов, но они не реализуют обучение в виде передачи или представления систематизированного образовательного контента</w:t>
      </w:r>
    </w:p>
    <w:p w14:paraId="1BC2A856" w14:textId="1689FB74" w:rsidR="00B77D6C" w:rsidRDefault="001256B0" w:rsidP="00A4022C">
      <w:pPr>
        <w:pStyle w:val="ac"/>
        <w:ind w:left="567" w:firstLine="0"/>
      </w:pPr>
      <w:r>
        <w:t>Достоинства: бесплатное обучение на реальных кейсах от Сбера и его партнеров</w:t>
      </w:r>
      <w:r w:rsidR="00A4022C">
        <w:t>;</w:t>
      </w:r>
      <w:r>
        <w:t xml:space="preserve"> возможность развития навыков сотрудничества, самостоятельного поиска и критической оценки информации и результатов деятельности других участников проекта; современная инфраструктура в виде круглосуточно доступных кампусов.</w:t>
      </w:r>
    </w:p>
    <w:p w14:paraId="5F1AE0BB" w14:textId="30ED1D22" w:rsidR="001256B0" w:rsidRPr="00B77D6C" w:rsidRDefault="001256B0" w:rsidP="00A4022C">
      <w:pPr>
        <w:pStyle w:val="ac"/>
        <w:ind w:left="567" w:firstLine="0"/>
      </w:pPr>
      <w:r>
        <w:t xml:space="preserve">Недостатки: сложная процедура отбора в виде интенсива (называется «бассейн»), кампусы всего в нескольких городах, необходимость высокого уровня самоорганизации у обучающихся. </w:t>
      </w:r>
    </w:p>
    <w:p w14:paraId="426A6B01" w14:textId="6F476F12" w:rsidR="00B77D6C" w:rsidRDefault="00A4022C" w:rsidP="00A4022C">
      <w:pPr>
        <w:pStyle w:val="ac"/>
        <w:ind w:firstLine="0"/>
      </w:pPr>
      <w:r>
        <w:t>2.  </w:t>
      </w:r>
      <w:r w:rsidR="00B77D6C">
        <w:t>«</w:t>
      </w:r>
      <w:proofErr w:type="spellStart"/>
      <w:r w:rsidR="00B77D6C">
        <w:t>Нетология</w:t>
      </w:r>
      <w:proofErr w:type="spellEnd"/>
      <w:r w:rsidR="00B77D6C">
        <w:t>»</w:t>
      </w:r>
      <w:r w:rsidR="001256B0">
        <w:t xml:space="preserve"> </w:t>
      </w:r>
    </w:p>
    <w:p w14:paraId="31EA3D15" w14:textId="406C64A8" w:rsidR="001256B0" w:rsidRDefault="001256B0" w:rsidP="001256B0">
      <w:pPr>
        <w:pStyle w:val="ac"/>
        <w:ind w:left="567" w:firstLine="0"/>
      </w:pPr>
      <w:r>
        <w:t xml:space="preserve">Концепция: </w:t>
      </w:r>
      <w:r>
        <w:t>цифровой университет, предлагающий разнообразие курсов – от коротких трехдневных интенсивов до магистратуры совместно с ведущими вузами РФ</w:t>
      </w:r>
    </w:p>
    <w:p w14:paraId="0236099A" w14:textId="0680C131" w:rsidR="001256B0" w:rsidRDefault="001256B0" w:rsidP="001256B0">
      <w:pPr>
        <w:pStyle w:val="ac"/>
        <w:ind w:left="567" w:firstLine="0"/>
      </w:pPr>
      <w:r>
        <w:t>Достоинства:</w:t>
      </w:r>
      <w:r>
        <w:t xml:space="preserve"> акцент на карьерном </w:t>
      </w:r>
      <w:r w:rsidR="00A4022C">
        <w:t>сопровождении -</w:t>
      </w:r>
      <w:r>
        <w:t xml:space="preserve"> от помощи в выборе специализации до предоставления возможностей трудоустройства</w:t>
      </w:r>
      <w:r w:rsidR="00A4022C">
        <w:t>;</w:t>
      </w:r>
      <w:r>
        <w:t xml:space="preserve"> высокая практико-ориентированность за счет</w:t>
      </w:r>
      <w:r w:rsidR="00A4022C">
        <w:t xml:space="preserve"> приглашения ведущих специалистов в отрасли для обучения, а также за счет</w:t>
      </w:r>
      <w:r>
        <w:t xml:space="preserve"> кейсов от будущих работодателей (</w:t>
      </w:r>
      <w:r w:rsidR="00A4022C">
        <w:t xml:space="preserve">выполнение сложных кейсов оплачивается работодателем, то возможность частичного возврата средств за обучение в течение обучения). </w:t>
      </w:r>
    </w:p>
    <w:p w14:paraId="3566557C" w14:textId="70073430" w:rsidR="001256B0" w:rsidRDefault="001256B0" w:rsidP="001256B0">
      <w:pPr>
        <w:pStyle w:val="ac"/>
        <w:ind w:left="567" w:firstLine="0"/>
      </w:pPr>
      <w:r>
        <w:t>Недостатки:</w:t>
      </w:r>
      <w:r w:rsidR="00A4022C" w:rsidRPr="00A4022C">
        <w:t xml:space="preserve"> </w:t>
      </w:r>
      <w:r w:rsidR="00A4022C" w:rsidRPr="00A4022C">
        <w:t>высокая стоимость курсов, длительность программ, что требует значительных временных затрат.</w:t>
      </w:r>
    </w:p>
    <w:p w14:paraId="3B887976" w14:textId="7A50B1C5" w:rsidR="001256B0" w:rsidRDefault="00A4022C" w:rsidP="00A4022C">
      <w:pPr>
        <w:pStyle w:val="ac"/>
        <w:ind w:firstLine="0"/>
      </w:pPr>
      <w:r>
        <w:t xml:space="preserve">3. </w:t>
      </w:r>
      <w:r w:rsidR="001256B0">
        <w:t>«</w:t>
      </w:r>
      <w:proofErr w:type="spellStart"/>
      <w:r w:rsidR="001256B0">
        <w:t>Фоксфорд</w:t>
      </w:r>
      <w:proofErr w:type="spellEnd"/>
      <w:r w:rsidR="001256B0">
        <w:t>»</w:t>
      </w:r>
    </w:p>
    <w:p w14:paraId="125513D1" w14:textId="22AE3664" w:rsidR="00A4022C" w:rsidRDefault="00A4022C" w:rsidP="00A4022C">
      <w:pPr>
        <w:pStyle w:val="ac"/>
        <w:ind w:left="567" w:firstLine="0"/>
      </w:pPr>
      <w:r>
        <w:t>Концепция: онлайн-школа, ориентированная на подготовку к ЕГЭ/ОГЭ и олимпиадам</w:t>
      </w:r>
      <w:r>
        <w:t xml:space="preserve"> (включая информатику и программирование), а также курсы дополнительного образования для учителей</w:t>
      </w:r>
      <w:r>
        <w:t>.</w:t>
      </w:r>
    </w:p>
    <w:p w14:paraId="64E5EE59" w14:textId="712183EF" w:rsidR="00A4022C" w:rsidRDefault="00A4022C" w:rsidP="00A4022C">
      <w:pPr>
        <w:pStyle w:val="ac"/>
        <w:ind w:left="567" w:firstLine="0"/>
      </w:pPr>
      <w:r>
        <w:t>Достоинства: глубокая интеграция в систему среднего общего образования</w:t>
      </w:r>
      <w:r>
        <w:t>;</w:t>
      </w:r>
      <w:r>
        <w:t xml:space="preserve"> сильный преподавательский состав (вузовские преподаватели, члены жюри олимпиад)</w:t>
      </w:r>
      <w:r>
        <w:t xml:space="preserve">; понятный </w:t>
      </w:r>
      <w:r>
        <w:t>интерфейс для несовершеннолетних пользователей и родителей.</w:t>
      </w:r>
    </w:p>
    <w:p w14:paraId="63F5B9BA" w14:textId="77777777" w:rsidR="00A4022C" w:rsidRDefault="00A4022C" w:rsidP="00A4022C">
      <w:pPr>
        <w:pStyle w:val="ac"/>
        <w:ind w:left="567" w:firstLine="0"/>
      </w:pPr>
      <w:r>
        <w:t>Недостатки: ориентация на академические успехи, а не практические навыки для ИТ-индустрии, узкая направленность.</w:t>
      </w:r>
    </w:p>
    <w:p w14:paraId="64E2F5E6" w14:textId="77777777" w:rsidR="00A4022C" w:rsidRDefault="00A4022C" w:rsidP="00A4022C">
      <w:pPr>
        <w:pStyle w:val="ac"/>
        <w:ind w:firstLine="0"/>
      </w:pPr>
      <w:r>
        <w:t>4. «</w:t>
      </w:r>
      <w:proofErr w:type="spellStart"/>
      <w:r>
        <w:t>Степик</w:t>
      </w:r>
      <w:proofErr w:type="spellEnd"/>
      <w:r>
        <w:t>» (</w:t>
      </w:r>
      <w:proofErr w:type="spellStart"/>
      <w:r>
        <w:t>Stepik</w:t>
      </w:r>
      <w:proofErr w:type="spellEnd"/>
      <w:r>
        <w:t>)</w:t>
      </w:r>
    </w:p>
    <w:p w14:paraId="720076E2" w14:textId="77777777" w:rsidR="00A4022C" w:rsidRDefault="00A4022C" w:rsidP="00A4022C">
      <w:pPr>
        <w:pStyle w:val="ac"/>
        <w:ind w:left="567" w:firstLine="0"/>
      </w:pPr>
      <w:r>
        <w:lastRenderedPageBreak/>
        <w:t>Концепция: образовательная платформа и конструктор открытых онлайн курсов (MOOC), позволяющий любому автору создавать интерактивные учебные материалы.</w:t>
      </w:r>
    </w:p>
    <w:p w14:paraId="16DD9F62" w14:textId="618DC399" w:rsidR="00A4022C" w:rsidRDefault="00A4022C" w:rsidP="00A4022C">
      <w:pPr>
        <w:pStyle w:val="ac"/>
        <w:ind w:left="567" w:firstLine="0"/>
      </w:pPr>
      <w:r>
        <w:t>Достоинства: гибкая и мощная система автоматической проверки заданий (включая задачи по программированию)</w:t>
      </w:r>
      <w:r>
        <w:t xml:space="preserve">; большой </w:t>
      </w:r>
      <w:r>
        <w:t>объем бесплатного контента</w:t>
      </w:r>
      <w:r>
        <w:t xml:space="preserve">; широко </w:t>
      </w:r>
      <w:r>
        <w:t>используется вузами как дополнение к основным курсам.</w:t>
      </w:r>
    </w:p>
    <w:p w14:paraId="4F384000" w14:textId="09CDCEA7" w:rsidR="00A4022C" w:rsidRDefault="00A4022C" w:rsidP="00A4022C">
      <w:pPr>
        <w:pStyle w:val="ac"/>
        <w:ind w:left="567" w:firstLine="0"/>
      </w:pPr>
      <w:r>
        <w:t>Недостатки: качество контента варьируется в зависимости от автора курса</w:t>
      </w:r>
      <w:r>
        <w:t>;</w:t>
      </w:r>
      <w:r>
        <w:t xml:space="preserve"> интерфейс и дизайн уступают коммерческим аналогам, отсутствие единой клиентского сервиса для всех курсов.</w:t>
      </w:r>
    </w:p>
    <w:p w14:paraId="224851B5" w14:textId="77777777" w:rsidR="00B75C56" w:rsidRDefault="00B75C56" w:rsidP="00B75C56">
      <w:pPr>
        <w:pStyle w:val="ac"/>
        <w:ind w:firstLine="0"/>
      </w:pPr>
      <w:r>
        <w:t>5. «Яндекс Практикум»</w:t>
      </w:r>
    </w:p>
    <w:p w14:paraId="4B734EEA" w14:textId="77777777" w:rsidR="00B75C56" w:rsidRDefault="00B75C56" w:rsidP="00B75C56">
      <w:pPr>
        <w:pStyle w:val="ac"/>
      </w:pPr>
      <w:r>
        <w:t>Концепция: онлайн-школа с фокусом на интенсивную подготовку ИТ-специалистов через практико-ориентированный подход.</w:t>
      </w:r>
    </w:p>
    <w:p w14:paraId="21A74FC2" w14:textId="2A307AC6" w:rsidR="00B75C56" w:rsidRDefault="00B75C56" w:rsidP="00B75C56">
      <w:pPr>
        <w:pStyle w:val="ac"/>
      </w:pPr>
      <w:r>
        <w:t>Достоинства: реальные практические задачи</w:t>
      </w:r>
      <w:r>
        <w:t>;</w:t>
      </w:r>
      <w:r>
        <w:t xml:space="preserve"> высокое качество </w:t>
      </w:r>
      <w:r>
        <w:t xml:space="preserve">и актуальность </w:t>
      </w:r>
      <w:r>
        <w:t>учебного контента</w:t>
      </w:r>
      <w:r>
        <w:t>;</w:t>
      </w:r>
      <w:r>
        <w:t xml:space="preserve"> проработанная среда с тренажерами (настраиваемая среда разработки (IDE) прямо в браузере)</w:t>
      </w:r>
      <w:r>
        <w:t>;</w:t>
      </w:r>
      <w:r>
        <w:t xml:space="preserve"> </w:t>
      </w:r>
      <w:r>
        <w:t xml:space="preserve">модель </w:t>
      </w:r>
      <w:r>
        <w:t xml:space="preserve">возврата средств при условии трудоустройства </w:t>
      </w:r>
      <w:r>
        <w:t>в компанию «Яндекс»</w:t>
      </w:r>
      <w:r>
        <w:t>.</w:t>
      </w:r>
    </w:p>
    <w:p w14:paraId="2AAB9CC5" w14:textId="098F2278" w:rsidR="00B75C56" w:rsidRDefault="00B75C56" w:rsidP="00B75C56">
      <w:pPr>
        <w:pStyle w:val="ac"/>
      </w:pPr>
      <w:r>
        <w:t>Недостатки: относительная новизна платформы и, как следствие, неполная ретроспектива данных о карьере выпускников</w:t>
      </w:r>
      <w:r>
        <w:t>;</w:t>
      </w:r>
      <w:r>
        <w:t xml:space="preserve"> </w:t>
      </w:r>
      <w:r>
        <w:t xml:space="preserve">высокая </w:t>
      </w:r>
      <w:r>
        <w:t>стоимость, недоступная для части аудитории</w:t>
      </w:r>
      <w:r>
        <w:t>;</w:t>
      </w:r>
      <w:r>
        <w:t xml:space="preserve"> </w:t>
      </w:r>
      <w:r>
        <w:t>в некоторых курсах прослеживается</w:t>
      </w:r>
      <w:r>
        <w:t xml:space="preserve"> ориентация на запросы одной компании.</w:t>
      </w:r>
    </w:p>
    <w:p w14:paraId="14A9FC7F" w14:textId="77777777" w:rsidR="00B75C56" w:rsidRDefault="00B75C56" w:rsidP="00B75C56">
      <w:pPr>
        <w:pStyle w:val="ac"/>
      </w:pPr>
      <w:r>
        <w:t>Представленный список не является исчерпывающим, однако, проведенный анализ позволяет не только зафиксировать текущее состояние отдельных платформ, но и выявить общие для всей экосистемы ИТ-образования проблемы и перспективы развития. К числу системных вызовов, характерных как для российского, так и для глобального рынка, относятся следующие. Ключевым барьером остается высокая стоимость внедрения и сопровождения передовых технологий, а также дефицит квалифицированных кадров, способных эффективно интегрировать цифровые инструменты в учебный процесс [1, с. 172]. Не менее остро стоят вопросы конфиденциальности персональных данных и информационной безопасности. Накопление больших массивов данных об учащихся (цифрового следа) требует создания надежных систем защиты и этического регулирования их использования [4].</w:t>
      </w:r>
    </w:p>
    <w:p w14:paraId="58486030" w14:textId="77777777" w:rsidR="00B75C56" w:rsidRDefault="00B75C56" w:rsidP="00B75C56">
      <w:pPr>
        <w:pStyle w:val="ac"/>
      </w:pPr>
      <w:r>
        <w:t>Тем не менее, потенциал роста отрасли остается высоким. Государственная политика в рамках национальных программ «Наука и университеты» и «Цифровая экономика» направлена на преодоление цифрового неравенства и модернизацию ИТ-инфраструктуры вузов. Дальнейшее развитие экосистемы будет определяться степенью интеграции иммерсивных технологий, совершенствованием механизмов персонализации на основе ИИ и способностью рынка гибко реагировать на запросы цифровой экономики [5].</w:t>
      </w:r>
    </w:p>
    <w:p w14:paraId="6B9EF949" w14:textId="77777777" w:rsidR="00B75C56" w:rsidRDefault="00B75C56" w:rsidP="00B75C56">
      <w:pPr>
        <w:pStyle w:val="ac"/>
      </w:pPr>
      <w:r>
        <w:lastRenderedPageBreak/>
        <w:t>Резюмируя вышесказанное, можно констатировать, что экосистема ИТ-образования представляет собой сложный, многоуровневый феномен, находящийся в стадии активного становления. Проведенный анализ показывает, что ее эффективность зависит от синергии технологических инноваций, стратегического партнерства между бизнесом и образованием, а также от учета архитектурных особенностей самих образовательных платформ. Рассмотренные российские платформы демонстрируют разнообразие подходов к построению цифровой образовательной среды, каждая из которых имеет свои конкурентные преимущества и ограничения. Дальнейшее исследование предполагает углубленный анализ экономических моделей данных платформ и их вклада в подготовку ИТ-кадров для российской экономики.</w:t>
      </w:r>
    </w:p>
    <w:p w14:paraId="71242F5A" w14:textId="77777777" w:rsidR="00B75C56" w:rsidRPr="007441AB" w:rsidRDefault="00B75C56" w:rsidP="00B75C56">
      <w:pPr>
        <w:pStyle w:val="ac"/>
        <w:spacing w:before="100" w:beforeAutospacing="1" w:after="120"/>
        <w:rPr>
          <w:i/>
        </w:rPr>
      </w:pPr>
      <w:r w:rsidRPr="007441AB">
        <w:rPr>
          <w:i/>
        </w:rPr>
        <w:t>Литература</w:t>
      </w:r>
      <w:r>
        <w:rPr>
          <w:i/>
        </w:rPr>
        <w:t>:</w:t>
      </w:r>
    </w:p>
    <w:p w14:paraId="143990A6" w14:textId="77777777" w:rsidR="00B75C56" w:rsidRDefault="00B75C56" w:rsidP="00B75C56">
      <w:pPr>
        <w:pStyle w:val="ac"/>
        <w:numPr>
          <w:ilvl w:val="0"/>
          <w:numId w:val="3"/>
        </w:numPr>
      </w:pPr>
      <w:r>
        <w:t xml:space="preserve">Шевчук, Е. В. Проектирование архитектуры информационно-образовательных систем: интеграционные подходы и стандарты / Е. В. Шевчук // Вестник Северо-Казахстанского университета имени </w:t>
      </w:r>
      <w:proofErr w:type="spellStart"/>
      <w:r>
        <w:t>Манаша</w:t>
      </w:r>
      <w:proofErr w:type="spellEnd"/>
      <w:r>
        <w:t xml:space="preserve"> </w:t>
      </w:r>
      <w:proofErr w:type="spellStart"/>
      <w:r>
        <w:t>Козыбаева</w:t>
      </w:r>
      <w:proofErr w:type="spellEnd"/>
      <w:r>
        <w:t xml:space="preserve">. – 2025. – № 3 (67). – С. </w:t>
      </w:r>
      <w:proofErr w:type="gramStart"/>
      <w:r>
        <w:t>206-213</w:t>
      </w:r>
      <w:proofErr w:type="gramEnd"/>
      <w:r>
        <w:t>. – DOI: 10.54596/</w:t>
      </w:r>
      <w:proofErr w:type="gramStart"/>
      <w:r>
        <w:t>2958-0048-2025-3-206-213</w:t>
      </w:r>
      <w:proofErr w:type="gramEnd"/>
      <w:r>
        <w:t xml:space="preserve">. </w:t>
      </w:r>
    </w:p>
    <w:p w14:paraId="7F6EFB01" w14:textId="77777777" w:rsidR="00B75C56" w:rsidRDefault="00B75C56" w:rsidP="00B75C56">
      <w:pPr>
        <w:pStyle w:val="ac"/>
        <w:numPr>
          <w:ilvl w:val="0"/>
          <w:numId w:val="3"/>
        </w:numPr>
      </w:pPr>
      <w:proofErr w:type="spellStart"/>
      <w:r>
        <w:t>Полоников</w:t>
      </w:r>
      <w:proofErr w:type="spellEnd"/>
      <w:r>
        <w:t xml:space="preserve">, И. В. Системный анализ эволюции концепции образовательных технологий / И. В. </w:t>
      </w:r>
      <w:proofErr w:type="spellStart"/>
      <w:r>
        <w:t>Полоников</w:t>
      </w:r>
      <w:proofErr w:type="spellEnd"/>
      <w:r>
        <w:t xml:space="preserve"> // Инженерный вестник Дона. – 2025. – № 5 (125). – С. </w:t>
      </w:r>
      <w:proofErr w:type="gramStart"/>
      <w:r>
        <w:t>10-27</w:t>
      </w:r>
      <w:proofErr w:type="gramEnd"/>
      <w:r>
        <w:t xml:space="preserve">. – EDN: IZPUWT. </w:t>
      </w:r>
    </w:p>
    <w:p w14:paraId="5FA0593C" w14:textId="77777777" w:rsidR="00B75C56" w:rsidRPr="003206DF" w:rsidRDefault="00B75C56" w:rsidP="00B75C56">
      <w:pPr>
        <w:pStyle w:val="ac"/>
        <w:numPr>
          <w:ilvl w:val="0"/>
          <w:numId w:val="3"/>
        </w:numPr>
        <w:rPr>
          <w:lang w:val="en-US"/>
        </w:rPr>
      </w:pPr>
      <w:proofErr w:type="spellStart"/>
      <w:r w:rsidRPr="003206DF">
        <w:rPr>
          <w:lang w:val="en-US"/>
        </w:rPr>
        <w:t>Gudkova</w:t>
      </w:r>
      <w:proofErr w:type="spellEnd"/>
      <w:r w:rsidRPr="003206DF">
        <w:rPr>
          <w:lang w:val="en-US"/>
        </w:rPr>
        <w:t xml:space="preserve">, S. A. Ecosystems for Higher Education and Society / S. A. </w:t>
      </w:r>
      <w:proofErr w:type="spellStart"/>
      <w:r w:rsidRPr="003206DF">
        <w:rPr>
          <w:lang w:val="en-US"/>
        </w:rPr>
        <w:t>Gudkova</w:t>
      </w:r>
      <w:proofErr w:type="spellEnd"/>
      <w:r w:rsidRPr="003206DF">
        <w:rPr>
          <w:lang w:val="en-US"/>
        </w:rPr>
        <w:t xml:space="preserve">, E. N. </w:t>
      </w:r>
      <w:proofErr w:type="spellStart"/>
      <w:r w:rsidRPr="003206DF">
        <w:rPr>
          <w:lang w:val="en-US"/>
        </w:rPr>
        <w:t>Korneeva</w:t>
      </w:r>
      <w:proofErr w:type="spellEnd"/>
      <w:r w:rsidRPr="003206DF">
        <w:rPr>
          <w:lang w:val="en-US"/>
        </w:rPr>
        <w:t xml:space="preserve">, R. K. </w:t>
      </w:r>
      <w:proofErr w:type="spellStart"/>
      <w:r w:rsidRPr="003206DF">
        <w:rPr>
          <w:lang w:val="en-US"/>
        </w:rPr>
        <w:t>Krayneva</w:t>
      </w:r>
      <w:proofErr w:type="spellEnd"/>
      <w:r w:rsidRPr="003206DF">
        <w:rPr>
          <w:lang w:val="en-US"/>
        </w:rPr>
        <w:t xml:space="preserve"> [</w:t>
      </w:r>
      <w:r>
        <w:t>и</w:t>
      </w:r>
      <w:r w:rsidRPr="003206DF">
        <w:rPr>
          <w:lang w:val="en-US"/>
        </w:rPr>
        <w:t xml:space="preserve"> </w:t>
      </w:r>
      <w:proofErr w:type="spellStart"/>
      <w:r>
        <w:t>др</w:t>
      </w:r>
      <w:proofErr w:type="spellEnd"/>
      <w:r w:rsidRPr="003206DF">
        <w:rPr>
          <w:lang w:val="en-US"/>
        </w:rPr>
        <w:t>.] // Smart Education and e-Learning—Smart University: Smart Innovation, Systems and Technologies. – Singapore: Springer Nature, 2023. – Vol. 305. – P. 183-193. – DOI: 10.1007/978-981-19-3112-3_34.</w:t>
      </w:r>
    </w:p>
    <w:p w14:paraId="258C4703" w14:textId="77777777" w:rsidR="00B75C56" w:rsidRPr="003206DF" w:rsidRDefault="00B75C56" w:rsidP="00B75C56">
      <w:pPr>
        <w:pStyle w:val="ac"/>
        <w:numPr>
          <w:ilvl w:val="0"/>
          <w:numId w:val="3"/>
        </w:numPr>
        <w:rPr>
          <w:lang w:val="en-US"/>
        </w:rPr>
      </w:pPr>
      <w:r w:rsidRPr="003206DF">
        <w:rPr>
          <w:lang w:val="en-US"/>
        </w:rPr>
        <w:t xml:space="preserve">Toward modern educational IT-ecosystems: from learning management systems to digital platforms // International Congress on </w:t>
      </w:r>
      <w:proofErr w:type="spellStart"/>
      <w:r w:rsidRPr="003206DF">
        <w:rPr>
          <w:lang w:val="en-US"/>
        </w:rPr>
        <w:t>Ultra Modern</w:t>
      </w:r>
      <w:proofErr w:type="spellEnd"/>
      <w:r w:rsidRPr="003206DF">
        <w:rPr>
          <w:lang w:val="en-US"/>
        </w:rPr>
        <w:t xml:space="preserve"> Telecommunications and Control Systems and Workshops (ICUMT 2018): proceedings, Moscow, 5–9 November 2018. – [Piscataway]: IEEE Computer Society, 2018. – P. 8631229. – DOI: 10.1109/ICUMT.2018.8631229. </w:t>
      </w:r>
    </w:p>
    <w:p w14:paraId="118D0D5E" w14:textId="77777777" w:rsidR="00B75C56" w:rsidRPr="003206DF" w:rsidRDefault="00B75C56" w:rsidP="00B75C56">
      <w:pPr>
        <w:pStyle w:val="ac"/>
        <w:numPr>
          <w:ilvl w:val="0"/>
          <w:numId w:val="3"/>
        </w:numPr>
        <w:rPr>
          <w:lang w:val="en-US"/>
        </w:rPr>
      </w:pPr>
      <w:proofErr w:type="spellStart"/>
      <w:r w:rsidRPr="003206DF">
        <w:rPr>
          <w:lang w:val="en-US"/>
        </w:rPr>
        <w:t>Uden</w:t>
      </w:r>
      <w:proofErr w:type="spellEnd"/>
      <w:r w:rsidRPr="003206DF">
        <w:rPr>
          <w:lang w:val="en-US"/>
        </w:rPr>
        <w:t xml:space="preserve">, L. The Future of E-learning: E-learning Ecosystem / L. </w:t>
      </w:r>
      <w:proofErr w:type="spellStart"/>
      <w:r w:rsidRPr="003206DF">
        <w:rPr>
          <w:lang w:val="en-US"/>
        </w:rPr>
        <w:t>Uden</w:t>
      </w:r>
      <w:proofErr w:type="spellEnd"/>
      <w:r w:rsidRPr="003206DF">
        <w:rPr>
          <w:lang w:val="en-US"/>
        </w:rPr>
        <w:t>, I. T. Wangsa, E. Damiani // 2007 Inaugural IEEE International Conference on Digital Ecosystems and Technologies (IEEE DEST 2007): proceedings, Cairns, Australia, 21–23 February 2007. – [Piscataway]: IEEE, 2007. – P. 113-117. – DOI: 10.1109/DEST.2007.371955.</w:t>
      </w:r>
    </w:p>
    <w:p w14:paraId="133B11DC" w14:textId="3C227E53" w:rsidR="001256B0" w:rsidRPr="00B75C56" w:rsidRDefault="001256B0" w:rsidP="00B75C56">
      <w:pPr>
        <w:pStyle w:val="ac"/>
        <w:ind w:left="567" w:firstLine="0"/>
        <w:rPr>
          <w:lang w:val="en-US"/>
        </w:rPr>
      </w:pPr>
    </w:p>
    <w:sectPr w:rsidR="001256B0" w:rsidRPr="00B75C56" w:rsidSect="00CE7CEF">
      <w:pgSz w:w="11906" w:h="16838"/>
      <w:pgMar w:top="1588" w:right="1588" w:bottom="1588"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E4D82"/>
    <w:multiLevelType w:val="hybridMultilevel"/>
    <w:tmpl w:val="105AA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29B4F6D"/>
    <w:multiLevelType w:val="hybridMultilevel"/>
    <w:tmpl w:val="71A6887A"/>
    <w:lvl w:ilvl="0" w:tplc="870681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7C16080"/>
    <w:multiLevelType w:val="hybridMultilevel"/>
    <w:tmpl w:val="47366020"/>
    <w:lvl w:ilvl="0" w:tplc="94BC79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206798309">
    <w:abstractNumId w:val="0"/>
  </w:num>
  <w:num w:numId="2" w16cid:durableId="651570300">
    <w:abstractNumId w:val="1"/>
  </w:num>
  <w:num w:numId="3" w16cid:durableId="1252395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007"/>
    <w:rsid w:val="001256B0"/>
    <w:rsid w:val="00527007"/>
    <w:rsid w:val="0094534F"/>
    <w:rsid w:val="009A7785"/>
    <w:rsid w:val="00A15C4F"/>
    <w:rsid w:val="00A4022C"/>
    <w:rsid w:val="00B52EF5"/>
    <w:rsid w:val="00B54E0E"/>
    <w:rsid w:val="00B75C56"/>
    <w:rsid w:val="00B77D6C"/>
    <w:rsid w:val="00CE7CEF"/>
    <w:rsid w:val="00D42B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87EA1"/>
  <w15:chartTrackingRefBased/>
  <w15:docId w15:val="{B971A5B2-0781-430F-923F-EF978C328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5270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5270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2700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52700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2700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2700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2700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2700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2700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700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2700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2700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2700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2700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2700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27007"/>
    <w:rPr>
      <w:rFonts w:eastAsiaTheme="majorEastAsia" w:cstheme="majorBidi"/>
      <w:color w:val="595959" w:themeColor="text1" w:themeTint="A6"/>
    </w:rPr>
  </w:style>
  <w:style w:type="character" w:customStyle="1" w:styleId="80">
    <w:name w:val="Заголовок 8 Знак"/>
    <w:basedOn w:val="a0"/>
    <w:link w:val="8"/>
    <w:uiPriority w:val="9"/>
    <w:semiHidden/>
    <w:rsid w:val="0052700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27007"/>
    <w:rPr>
      <w:rFonts w:eastAsiaTheme="majorEastAsia" w:cstheme="majorBidi"/>
      <w:color w:val="272727" w:themeColor="text1" w:themeTint="D8"/>
    </w:rPr>
  </w:style>
  <w:style w:type="paragraph" w:styleId="a3">
    <w:name w:val="Title"/>
    <w:basedOn w:val="a"/>
    <w:next w:val="a"/>
    <w:link w:val="a4"/>
    <w:uiPriority w:val="10"/>
    <w:qFormat/>
    <w:rsid w:val="005270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2700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2700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2700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27007"/>
    <w:pPr>
      <w:spacing w:before="160"/>
      <w:jc w:val="center"/>
    </w:pPr>
    <w:rPr>
      <w:i/>
      <w:iCs/>
      <w:color w:val="404040" w:themeColor="text1" w:themeTint="BF"/>
    </w:rPr>
  </w:style>
  <w:style w:type="character" w:customStyle="1" w:styleId="22">
    <w:name w:val="Цитата 2 Знак"/>
    <w:basedOn w:val="a0"/>
    <w:link w:val="21"/>
    <w:uiPriority w:val="29"/>
    <w:rsid w:val="00527007"/>
    <w:rPr>
      <w:i/>
      <w:iCs/>
      <w:color w:val="404040" w:themeColor="text1" w:themeTint="BF"/>
    </w:rPr>
  </w:style>
  <w:style w:type="paragraph" w:styleId="a7">
    <w:name w:val="List Paragraph"/>
    <w:basedOn w:val="a"/>
    <w:uiPriority w:val="34"/>
    <w:qFormat/>
    <w:rsid w:val="00527007"/>
    <w:pPr>
      <w:ind w:left="720"/>
      <w:contextualSpacing/>
    </w:pPr>
  </w:style>
  <w:style w:type="character" w:styleId="a8">
    <w:name w:val="Intense Emphasis"/>
    <w:basedOn w:val="a0"/>
    <w:uiPriority w:val="21"/>
    <w:qFormat/>
    <w:rsid w:val="00527007"/>
    <w:rPr>
      <w:i/>
      <w:iCs/>
      <w:color w:val="0F4761" w:themeColor="accent1" w:themeShade="BF"/>
    </w:rPr>
  </w:style>
  <w:style w:type="paragraph" w:styleId="a9">
    <w:name w:val="Intense Quote"/>
    <w:basedOn w:val="a"/>
    <w:next w:val="a"/>
    <w:link w:val="aa"/>
    <w:uiPriority w:val="30"/>
    <w:qFormat/>
    <w:rsid w:val="005270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27007"/>
    <w:rPr>
      <w:i/>
      <w:iCs/>
      <w:color w:val="0F4761" w:themeColor="accent1" w:themeShade="BF"/>
    </w:rPr>
  </w:style>
  <w:style w:type="character" w:styleId="ab">
    <w:name w:val="Intense Reference"/>
    <w:basedOn w:val="a0"/>
    <w:uiPriority w:val="32"/>
    <w:qFormat/>
    <w:rsid w:val="00527007"/>
    <w:rPr>
      <w:b/>
      <w:bCs/>
      <w:smallCaps/>
      <w:color w:val="0F4761" w:themeColor="accent1" w:themeShade="BF"/>
      <w:spacing w:val="5"/>
    </w:rPr>
  </w:style>
  <w:style w:type="paragraph" w:customStyle="1" w:styleId="ac">
    <w:name w:val="текст"/>
    <w:basedOn w:val="23"/>
    <w:rsid w:val="00CE7CEF"/>
    <w:pPr>
      <w:spacing w:after="0" w:line="240" w:lineRule="auto"/>
      <w:ind w:left="0" w:firstLine="567"/>
      <w:jc w:val="both"/>
    </w:pPr>
    <w:rPr>
      <w:rFonts w:ascii="Times New Roman" w:eastAsia="Times New Roman" w:hAnsi="Times New Roman" w:cs="Times New Roman"/>
      <w:kern w:val="0"/>
      <w:sz w:val="28"/>
      <w:u w:color="FF0000"/>
      <w:lang w:eastAsia="ru-RU"/>
      <w14:ligatures w14:val="none"/>
    </w:rPr>
  </w:style>
  <w:style w:type="paragraph" w:customStyle="1" w:styleId="Email">
    <w:name w:val="Email"/>
    <w:basedOn w:val="a"/>
    <w:rsid w:val="00CE7CEF"/>
    <w:pPr>
      <w:spacing w:after="120" w:afterAutospacing="1" w:line="240" w:lineRule="auto"/>
      <w:ind w:firstLine="567"/>
    </w:pPr>
    <w:rPr>
      <w:rFonts w:ascii="Times New Roman" w:eastAsia="Times New Roman" w:hAnsi="Times New Roman" w:cs="Times New Roman"/>
      <w:i/>
      <w:kern w:val="0"/>
      <w:sz w:val="28"/>
      <w:szCs w:val="20"/>
      <w:u w:val="single" w:color="000000"/>
      <w:lang w:val="en-US" w:eastAsia="ru-RU"/>
      <w14:ligatures w14:val="none"/>
    </w:rPr>
  </w:style>
  <w:style w:type="paragraph" w:styleId="23">
    <w:name w:val="Body Text Indent 2"/>
    <w:basedOn w:val="a"/>
    <w:link w:val="24"/>
    <w:uiPriority w:val="99"/>
    <w:semiHidden/>
    <w:unhideWhenUsed/>
    <w:rsid w:val="00CE7CEF"/>
    <w:pPr>
      <w:spacing w:after="120" w:line="480" w:lineRule="auto"/>
      <w:ind w:left="283"/>
    </w:pPr>
  </w:style>
  <w:style w:type="character" w:customStyle="1" w:styleId="24">
    <w:name w:val="Основной текст с отступом 2 Знак"/>
    <w:basedOn w:val="a0"/>
    <w:link w:val="23"/>
    <w:uiPriority w:val="99"/>
    <w:semiHidden/>
    <w:rsid w:val="00CE7C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48</TotalTime>
  <Pages>6</Pages>
  <Words>2140</Words>
  <Characters>12199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2026-03-19T12:08:00Z</dcterms:created>
  <dcterms:modified xsi:type="dcterms:W3CDTF">2026-03-19T13:01:00Z</dcterms:modified>
</cp:coreProperties>
</file>