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0FE4E" w14:textId="77777777" w:rsidR="000D2E0D" w:rsidRDefault="00AF5A48">
      <w:pPr>
        <w:pStyle w:val="a3"/>
        <w:ind w:left="133" w:firstLine="0"/>
        <w:jc w:val="left"/>
        <w:rPr>
          <w:sz w:val="20"/>
        </w:rPr>
      </w:pPr>
      <w:r>
        <w:rPr>
          <w:noProof/>
          <w:sz w:val="20"/>
        </w:rPr>
        <mc:AlternateContent>
          <mc:Choice Requires="wpg">
            <w:drawing>
              <wp:inline distT="0" distB="0" distL="0" distR="0" wp14:anchorId="2C67E8DC" wp14:editId="295CFC17">
                <wp:extent cx="5857240" cy="635000"/>
                <wp:effectExtent l="0"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57240" cy="635000"/>
                          <a:chOff x="0" y="0"/>
                          <a:chExt cx="5857240" cy="635000"/>
                        </a:xfrm>
                      </wpg:grpSpPr>
                      <wps:wsp>
                        <wps:cNvPr id="2" name="Graphic 2"/>
                        <wps:cNvSpPr/>
                        <wps:spPr>
                          <a:xfrm>
                            <a:off x="0" y="0"/>
                            <a:ext cx="5857240" cy="635000"/>
                          </a:xfrm>
                          <a:custGeom>
                            <a:avLst/>
                            <a:gdLst/>
                            <a:ahLst/>
                            <a:cxnLst/>
                            <a:rect l="l" t="t" r="r" b="b"/>
                            <a:pathLst>
                              <a:path w="5857240" h="635000">
                                <a:moveTo>
                                  <a:pt x="5857240" y="628650"/>
                                </a:moveTo>
                                <a:lnTo>
                                  <a:pt x="6350" y="628650"/>
                                </a:lnTo>
                                <a:lnTo>
                                  <a:pt x="6350" y="409575"/>
                                </a:lnTo>
                                <a:lnTo>
                                  <a:pt x="6350" y="206375"/>
                                </a:lnTo>
                                <a:lnTo>
                                  <a:pt x="6350" y="0"/>
                                </a:lnTo>
                                <a:lnTo>
                                  <a:pt x="0" y="0"/>
                                </a:lnTo>
                                <a:lnTo>
                                  <a:pt x="0" y="206375"/>
                                </a:lnTo>
                                <a:lnTo>
                                  <a:pt x="0" y="409575"/>
                                </a:lnTo>
                                <a:lnTo>
                                  <a:pt x="0" y="628650"/>
                                </a:lnTo>
                                <a:lnTo>
                                  <a:pt x="0" y="635000"/>
                                </a:lnTo>
                                <a:lnTo>
                                  <a:pt x="6350" y="635000"/>
                                </a:lnTo>
                                <a:lnTo>
                                  <a:pt x="5857240" y="635000"/>
                                </a:lnTo>
                                <a:lnTo>
                                  <a:pt x="5857240" y="62865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0" y="0"/>
                            <a:ext cx="5857240" cy="635000"/>
                          </a:xfrm>
                          <a:prstGeom prst="rect">
                            <a:avLst/>
                          </a:prstGeom>
                        </wps:spPr>
                        <wps:txbx>
                          <w:txbxContent>
                            <w:p w14:paraId="3A41D195" w14:textId="77777777" w:rsidR="000D2E0D" w:rsidRDefault="000D2E0D" w:rsidP="009F7A9A">
                              <w:pPr>
                                <w:rPr>
                                  <w:sz w:val="28"/>
                                </w:rPr>
                              </w:pPr>
                            </w:p>
                            <w:p w14:paraId="3A63C797" w14:textId="77777777" w:rsidR="009F7A9A" w:rsidRDefault="009F7A9A" w:rsidP="009F7A9A">
                              <w:pPr>
                                <w:tabs>
                                  <w:tab w:val="left" w:pos="1080"/>
                                </w:tabs>
                                <w:rPr>
                                  <w:rFonts w:eastAsia="Calibri"/>
                                  <w:b/>
                                  <w:bCs/>
                                  <w:sz w:val="28"/>
                                  <w:szCs w:val="28"/>
                                </w:rPr>
                              </w:pPr>
                              <w:bookmarkStart w:id="0" w:name="МЕТОДИЧЕСКИЕ_АСПЕКТЫ_ОБУЧЕНИЯ_РАБОТЕ_С_Б"/>
                              <w:bookmarkEnd w:id="0"/>
                              <w:r w:rsidRPr="00492F68">
                                <w:rPr>
                                  <w:rFonts w:eastAsia="Calibri"/>
                                  <w:b/>
                                  <w:bCs/>
                                  <w:sz w:val="28"/>
                                  <w:szCs w:val="28"/>
                                </w:rPr>
                                <w:t>ПОВЫШЕНИЕ ЭФФЕКТИВНОСТИ ПОДГОТОВКИ К ЕГЭ ПО МАТЕМАТИКЕ ПОСРЕДСТВОМ ГЕЙМИФИКАЦИИ МОБИЛЬНОГО ОБУЧЕНИЯ</w:t>
                              </w:r>
                            </w:p>
                            <w:p w14:paraId="702375FC" w14:textId="5E1A84C1" w:rsidR="000D2E0D" w:rsidRDefault="000D2E0D" w:rsidP="009F7A9A">
                              <w:pPr>
                                <w:ind w:left="120"/>
                                <w:jc w:val="both"/>
                                <w:rPr>
                                  <w:rFonts w:ascii="Arial" w:hAnsi="Arial"/>
                                  <w:b/>
                                  <w:sz w:val="28"/>
                                </w:rPr>
                              </w:pPr>
                            </w:p>
                          </w:txbxContent>
                        </wps:txbx>
                        <wps:bodyPr wrap="square" lIns="0" tIns="0" rIns="0" bIns="0" rtlCol="0">
                          <a:noAutofit/>
                        </wps:bodyPr>
                      </wps:wsp>
                    </wpg:wgp>
                  </a:graphicData>
                </a:graphic>
              </wp:inline>
            </w:drawing>
          </mc:Choice>
          <mc:Fallback>
            <w:pict>
              <v:group w14:anchorId="2C67E8DC" id="Group 1" o:spid="_x0000_s1026" style="width:461.2pt;height:50pt;mso-position-horizontal-relative:char;mso-position-vertical-relative:line" coordsize="58572,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">
                <v:shape id="Graphic 2" o:spid="_x0000_s1027" style="position:absolute;width:58572;height:6350;visibility:visible;mso-wrap-style:square;v-text-anchor:top" coordsize="5857240,6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" path="m5857240,628650r-5850890,l6350,409575r,-203200l6350,,,,,206375,,409575,,628650r,6350l6350,635000r5850890,l5857240,628650xe" fillcolor="black" stroked="f">
                  <v:path arrowok="t"/>
                </v:shape>
                <v:shapetype id="_x0000_t202" coordsize="21600,21600" o:spt="202" path="m,l,21600r21600,l21600,xe">
                  <v:stroke joinstyle="miter"/>
                  <v:path gradientshapeok="t" o:connecttype="rect"/>
                </v:shapetype>
                <v:shape id="Textbox 3" o:spid="_x0000_s1028" type="#_x0000_t202" style="position:absolute;width:58572;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A41D195" w14:textId="77777777" w:rsidR="000D2E0D" w:rsidRDefault="000D2E0D" w:rsidP="009F7A9A">
                        <w:pPr>
                          <w:rPr>
                            <w:sz w:val="28"/>
                          </w:rPr>
                        </w:pPr>
                      </w:p>
                      <w:p w14:paraId="3A63C797" w14:textId="77777777" w:rsidR="009F7A9A" w:rsidRDefault="009F7A9A" w:rsidP="009F7A9A">
                        <w:pPr>
                          <w:tabs>
                            <w:tab w:val="left" w:pos="1080"/>
                          </w:tabs>
                          <w:rPr>
                            <w:rFonts w:eastAsia="Calibri"/>
                            <w:b/>
                            <w:bCs/>
                            <w:sz w:val="28"/>
                            <w:szCs w:val="28"/>
                          </w:rPr>
                        </w:pPr>
                        <w:bookmarkStart w:id="1" w:name="МЕТОДИЧЕСКИЕ_АСПЕКТЫ_ОБУЧЕНИЯ_РАБОТЕ_С_Б"/>
                        <w:bookmarkEnd w:id="1"/>
                        <w:r w:rsidRPr="00492F68">
                          <w:rPr>
                            <w:rFonts w:eastAsia="Calibri"/>
                            <w:b/>
                            <w:bCs/>
                            <w:sz w:val="28"/>
                            <w:szCs w:val="28"/>
                          </w:rPr>
                          <w:t>ПОВЫШЕНИЕ ЭФФЕКТИВНОСТИ ПОДГОТОВКИ К ЕГЭ ПО МАТЕМАТИКЕ ПОСРЕДСТВОМ ГЕЙМИФИКАЦИИ МОБИЛЬНОГО ОБУЧЕНИЯ</w:t>
                        </w:r>
                      </w:p>
                      <w:p w14:paraId="702375FC" w14:textId="5E1A84C1" w:rsidR="000D2E0D" w:rsidRDefault="000D2E0D" w:rsidP="009F7A9A">
                        <w:pPr>
                          <w:ind w:left="120"/>
                          <w:jc w:val="both"/>
                          <w:rPr>
                            <w:rFonts w:ascii="Arial" w:hAnsi="Arial"/>
                            <w:b/>
                            <w:sz w:val="28"/>
                          </w:rPr>
                        </w:pPr>
                      </w:p>
                    </w:txbxContent>
                  </v:textbox>
                </v:shape>
                <w10:anchorlock/>
              </v:group>
            </w:pict>
          </mc:Fallback>
        </mc:AlternateContent>
      </w:r>
    </w:p>
    <w:p w14:paraId="2538AD1C" w14:textId="77777777" w:rsidR="000D2E0D" w:rsidRDefault="000D2E0D">
      <w:pPr>
        <w:pStyle w:val="a3"/>
        <w:spacing w:before="22"/>
        <w:ind w:left="0" w:firstLine="0"/>
        <w:jc w:val="left"/>
      </w:pPr>
    </w:p>
    <w:p w14:paraId="0A55DC8C" w14:textId="77777777" w:rsidR="000D2E0D" w:rsidRDefault="00AF5A48">
      <w:pPr>
        <w:pStyle w:val="1"/>
      </w:pPr>
      <w:r>
        <w:t>Фидрик</w:t>
      </w:r>
      <w:r>
        <w:rPr>
          <w:spacing w:val="-6"/>
        </w:rPr>
        <w:t xml:space="preserve"> </w:t>
      </w:r>
      <w:r>
        <w:t>Ю.П,</w:t>
      </w:r>
      <w:r>
        <w:rPr>
          <w:spacing w:val="-4"/>
        </w:rPr>
        <w:t xml:space="preserve"> </w:t>
      </w:r>
      <w:r>
        <w:t>Блинова</w:t>
      </w:r>
      <w:r>
        <w:rPr>
          <w:spacing w:val="2"/>
        </w:rPr>
        <w:t xml:space="preserve"> </w:t>
      </w:r>
      <w:r>
        <w:rPr>
          <w:spacing w:val="-4"/>
        </w:rPr>
        <w:t>Е.Е.</w:t>
      </w:r>
    </w:p>
    <w:p w14:paraId="1AFAA461" w14:textId="77777777" w:rsidR="000D2E0D" w:rsidRDefault="00AF5A48">
      <w:pPr>
        <w:spacing w:line="321" w:lineRule="exact"/>
        <w:ind w:left="253"/>
        <w:rPr>
          <w:i/>
          <w:sz w:val="28"/>
        </w:rPr>
      </w:pPr>
      <w:r>
        <w:rPr>
          <w:i/>
          <w:sz w:val="28"/>
        </w:rPr>
        <w:t>ФГАОУ</w:t>
      </w:r>
      <w:r>
        <w:rPr>
          <w:i/>
          <w:spacing w:val="-4"/>
          <w:sz w:val="28"/>
        </w:rPr>
        <w:t xml:space="preserve"> </w:t>
      </w:r>
      <w:r>
        <w:rPr>
          <w:i/>
          <w:sz w:val="28"/>
        </w:rPr>
        <w:t>ВО</w:t>
      </w:r>
      <w:r>
        <w:rPr>
          <w:i/>
          <w:spacing w:val="-5"/>
          <w:sz w:val="28"/>
        </w:rPr>
        <w:t xml:space="preserve"> </w:t>
      </w:r>
      <w:r>
        <w:rPr>
          <w:i/>
          <w:sz w:val="28"/>
        </w:rPr>
        <w:t>Южный</w:t>
      </w:r>
      <w:r>
        <w:rPr>
          <w:i/>
          <w:spacing w:val="-2"/>
          <w:sz w:val="28"/>
        </w:rPr>
        <w:t xml:space="preserve"> </w:t>
      </w:r>
      <w:r>
        <w:rPr>
          <w:i/>
          <w:sz w:val="28"/>
        </w:rPr>
        <w:t xml:space="preserve">федеральный </w:t>
      </w:r>
      <w:r>
        <w:rPr>
          <w:i/>
          <w:spacing w:val="-2"/>
          <w:sz w:val="28"/>
        </w:rPr>
        <w:t>университет,</w:t>
      </w:r>
    </w:p>
    <w:p w14:paraId="1C80D596" w14:textId="77777777" w:rsidR="000D2E0D" w:rsidRDefault="00AF5A48">
      <w:pPr>
        <w:spacing w:before="3"/>
        <w:ind w:left="253" w:right="122"/>
        <w:rPr>
          <w:i/>
          <w:sz w:val="28"/>
        </w:rPr>
      </w:pPr>
      <w:r>
        <w:rPr>
          <w:i/>
          <w:sz w:val="28"/>
        </w:rPr>
        <w:t>Институт</w:t>
      </w:r>
      <w:r>
        <w:rPr>
          <w:i/>
          <w:spacing w:val="-7"/>
          <w:sz w:val="28"/>
        </w:rPr>
        <w:t xml:space="preserve"> </w:t>
      </w:r>
      <w:r>
        <w:rPr>
          <w:i/>
          <w:sz w:val="28"/>
        </w:rPr>
        <w:t>математики,</w:t>
      </w:r>
      <w:r>
        <w:rPr>
          <w:i/>
          <w:spacing w:val="-5"/>
          <w:sz w:val="28"/>
        </w:rPr>
        <w:t xml:space="preserve"> </w:t>
      </w:r>
      <w:r>
        <w:rPr>
          <w:i/>
          <w:sz w:val="28"/>
        </w:rPr>
        <w:t>механики</w:t>
      </w:r>
      <w:r>
        <w:rPr>
          <w:i/>
          <w:spacing w:val="-5"/>
          <w:sz w:val="28"/>
        </w:rPr>
        <w:t xml:space="preserve"> </w:t>
      </w:r>
      <w:r>
        <w:rPr>
          <w:i/>
          <w:sz w:val="28"/>
        </w:rPr>
        <w:t>и</w:t>
      </w:r>
      <w:r>
        <w:rPr>
          <w:i/>
          <w:spacing w:val="-5"/>
          <w:sz w:val="28"/>
        </w:rPr>
        <w:t xml:space="preserve"> </w:t>
      </w:r>
      <w:r>
        <w:rPr>
          <w:i/>
          <w:sz w:val="28"/>
        </w:rPr>
        <w:t>компьютерных</w:t>
      </w:r>
      <w:r>
        <w:rPr>
          <w:i/>
          <w:spacing w:val="-5"/>
          <w:sz w:val="28"/>
        </w:rPr>
        <w:t xml:space="preserve"> </w:t>
      </w:r>
      <w:r>
        <w:rPr>
          <w:i/>
          <w:sz w:val="28"/>
        </w:rPr>
        <w:t>наук</w:t>
      </w:r>
      <w:r>
        <w:rPr>
          <w:i/>
          <w:spacing w:val="-5"/>
          <w:sz w:val="28"/>
        </w:rPr>
        <w:t xml:space="preserve"> </w:t>
      </w:r>
      <w:r>
        <w:rPr>
          <w:i/>
          <w:sz w:val="28"/>
        </w:rPr>
        <w:t>имени</w:t>
      </w:r>
      <w:r>
        <w:rPr>
          <w:i/>
          <w:spacing w:val="-5"/>
          <w:sz w:val="28"/>
        </w:rPr>
        <w:t xml:space="preserve"> </w:t>
      </w:r>
      <w:r>
        <w:rPr>
          <w:i/>
          <w:sz w:val="28"/>
        </w:rPr>
        <w:t>И.</w:t>
      </w:r>
      <w:r>
        <w:rPr>
          <w:i/>
          <w:spacing w:val="-5"/>
          <w:sz w:val="28"/>
        </w:rPr>
        <w:t xml:space="preserve"> </w:t>
      </w:r>
      <w:r>
        <w:rPr>
          <w:i/>
          <w:sz w:val="28"/>
        </w:rPr>
        <w:t xml:space="preserve">И. </w:t>
      </w:r>
      <w:r>
        <w:rPr>
          <w:i/>
          <w:spacing w:val="-2"/>
          <w:sz w:val="28"/>
        </w:rPr>
        <w:t>Воровича.</w:t>
      </w:r>
    </w:p>
    <w:p w14:paraId="158EA5C0" w14:textId="77777777" w:rsidR="000D2E0D" w:rsidRDefault="00AF5A48">
      <w:pPr>
        <w:spacing w:before="1" w:line="321" w:lineRule="exact"/>
        <w:ind w:left="253"/>
        <w:rPr>
          <w:i/>
          <w:sz w:val="28"/>
        </w:rPr>
      </w:pPr>
      <w:r>
        <w:rPr>
          <w:i/>
          <w:sz w:val="28"/>
        </w:rPr>
        <w:t>г.</w:t>
      </w:r>
      <w:r>
        <w:rPr>
          <w:i/>
          <w:spacing w:val="-9"/>
          <w:sz w:val="28"/>
        </w:rPr>
        <w:t xml:space="preserve"> </w:t>
      </w:r>
      <w:r>
        <w:rPr>
          <w:i/>
          <w:sz w:val="28"/>
        </w:rPr>
        <w:t>Ростов-на-</w:t>
      </w:r>
      <w:r>
        <w:rPr>
          <w:i/>
          <w:spacing w:val="-4"/>
          <w:sz w:val="28"/>
        </w:rPr>
        <w:t>Дону</w:t>
      </w:r>
    </w:p>
    <w:p w14:paraId="1C796A74" w14:textId="77777777" w:rsidR="000D2E0D" w:rsidRDefault="00AF5A48">
      <w:pPr>
        <w:pStyle w:val="a3"/>
        <w:spacing w:line="321" w:lineRule="exact"/>
        <w:ind w:firstLine="0"/>
        <w:jc w:val="left"/>
      </w:pPr>
      <w:r>
        <w:t>E-mail:</w:t>
      </w:r>
      <w:r>
        <w:rPr>
          <w:spacing w:val="3"/>
        </w:rPr>
        <w:t xml:space="preserve"> </w:t>
      </w:r>
      <w:hyperlink r:id="rId5">
        <w:r w:rsidR="000D2E0D">
          <w:rPr>
            <w:color w:val="0462C1"/>
            <w:spacing w:val="-2"/>
            <w:u w:val="single" w:color="0462C1"/>
          </w:rPr>
          <w:t>fidrik@sfedu.ru</w:t>
        </w:r>
      </w:hyperlink>
    </w:p>
    <w:p w14:paraId="78F5A45A" w14:textId="77777777" w:rsidR="000D2E0D" w:rsidRDefault="000D2E0D">
      <w:pPr>
        <w:pStyle w:val="a3"/>
        <w:spacing w:before="1"/>
        <w:ind w:left="0" w:firstLine="0"/>
        <w:jc w:val="left"/>
      </w:pPr>
    </w:p>
    <w:p w14:paraId="187B2572" w14:textId="2D7480E1" w:rsidR="009F7A9A" w:rsidRPr="00663C95" w:rsidRDefault="009F7A9A" w:rsidP="00663C95">
      <w:pPr>
        <w:tabs>
          <w:tab w:val="left" w:pos="1080"/>
        </w:tabs>
        <w:ind w:firstLine="624"/>
        <w:jc w:val="both"/>
        <w:rPr>
          <w:rFonts w:eastAsia="Calibri"/>
          <w:sz w:val="28"/>
          <w:szCs w:val="28"/>
        </w:rPr>
      </w:pPr>
      <w:r w:rsidRPr="00663C95">
        <w:rPr>
          <w:rFonts w:eastAsia="Calibri"/>
          <w:sz w:val="28"/>
          <w:szCs w:val="28"/>
        </w:rPr>
        <w:t>В школьной программе подготовке к единому государственному экзамену по математике отведена ключевая роль. Это связано с тем, что ЕГЭ решает две важнейшие задачи: выступает в качестве государственной проверки знаний выпускников и служит механизмом конкурсного отбора для поступления в вузы. Действующая система экзамена подразумевает его деление на базовый и профильный уровни, а это, в свою очередь, требует от учащихся и педагогов применения принципиально разных подходов к освоению материала. Если в рамках базового уровня приоритетом становится прочное освоение обязательного содержания школьного курса и отработка типовых заданий, то профильный уровень требует развития более сложных умений, связанных с решением задач повышенной и высокой сложности, включая задания с развёрнутым ответом. Официальные материалы ФИПИ на 2026 год подтверждают сохранение данной двухуровневой структуры и подчёркивают значимость таких ресурсов, как открытый банк заданий, демоверсии, кодификаторы и навигатор самостоятельной подготовки, служащих основными ориентирами для обучающихся и педагогов.</w:t>
      </w:r>
    </w:p>
    <w:p w14:paraId="12BB8EB9" w14:textId="3113077D" w:rsidR="008F1C42" w:rsidRDefault="009F7A9A" w:rsidP="00663C95">
      <w:pPr>
        <w:tabs>
          <w:tab w:val="left" w:pos="1080"/>
        </w:tabs>
        <w:ind w:firstLine="624"/>
        <w:jc w:val="both"/>
        <w:rPr>
          <w:rFonts w:eastAsia="Calibri"/>
          <w:sz w:val="28"/>
          <w:szCs w:val="28"/>
        </w:rPr>
      </w:pPr>
      <w:r w:rsidRPr="00663C95">
        <w:rPr>
          <w:rFonts w:eastAsia="Calibri"/>
          <w:sz w:val="28"/>
          <w:szCs w:val="28"/>
        </w:rPr>
        <w:t>Однако сама по себе доступность качественных учебных материалов не гарантирует высокой результативности подготовки</w:t>
      </w:r>
      <w:r w:rsidR="00AF5A48">
        <w:rPr>
          <w:rFonts w:eastAsia="Calibri"/>
          <w:sz w:val="28"/>
          <w:szCs w:val="28"/>
        </w:rPr>
        <w:t>, что демонстрирует ана</w:t>
      </w:r>
      <w:r w:rsidR="008F1C42">
        <w:rPr>
          <w:rFonts w:eastAsia="Calibri"/>
          <w:sz w:val="28"/>
          <w:szCs w:val="28"/>
        </w:rPr>
        <w:t>нализ доступных материалов и стратегий подготовки к ЕГЭ по математике</w:t>
      </w:r>
      <w:r w:rsidR="00AF5A48">
        <w:rPr>
          <w:rFonts w:eastAsia="Calibri"/>
          <w:sz w:val="28"/>
          <w:szCs w:val="28"/>
        </w:rPr>
        <w:t>, которые демонстрируют</w:t>
      </w:r>
      <w:r w:rsidR="008F1C42">
        <w:rPr>
          <w:rFonts w:eastAsia="Calibri"/>
          <w:sz w:val="28"/>
          <w:szCs w:val="28"/>
        </w:rPr>
        <w:t xml:space="preserve"> преобладающий тип подготовки в виде «нарешивания» однотипных заданий с повторяющимися заданиями базового уровня и сложных профильных задач, которые требуют у решающего концентрации внимания и отслеживания ошибок, что говорит не только о нехватке ресурсов для эффективной подготовки, но и отсутствия стабильного учебного ритма, когда простые и сложные задания сменяют друг друга, поддерживая при этом интерес и стимулирует мотивацию к подготовке у обучающихся.</w:t>
      </w:r>
    </w:p>
    <w:p w14:paraId="3E3823C2" w14:textId="28849ACF" w:rsidR="00663C95" w:rsidRPr="00AF5A48" w:rsidRDefault="0054287C" w:rsidP="00663C95">
      <w:pPr>
        <w:tabs>
          <w:tab w:val="left" w:pos="1080"/>
        </w:tabs>
        <w:ind w:firstLine="624"/>
        <w:jc w:val="both"/>
        <w:rPr>
          <w:rFonts w:eastAsia="Calibri"/>
          <w:sz w:val="28"/>
          <w:szCs w:val="28"/>
        </w:rPr>
      </w:pPr>
      <w:r>
        <w:rPr>
          <w:rFonts w:eastAsia="Calibri"/>
          <w:sz w:val="28"/>
          <w:szCs w:val="28"/>
        </w:rPr>
        <w:t>Решить данную проблему, исходя из результатов исследований по цифровой дидактике может помочь применение игровых технологий</w:t>
      </w:r>
      <w:r w:rsidR="00525C0D">
        <w:rPr>
          <w:rFonts w:eastAsia="Calibri"/>
          <w:sz w:val="28"/>
          <w:szCs w:val="28"/>
        </w:rPr>
        <w:t xml:space="preserve">, внедрение которых в образовательный процесс способно привести к росту заинтересованности школьников к учебному процессу, вовлечь в планомерную работу по подготовке к экзамену, успех которой зависит не столько от </w:t>
      </w:r>
      <w:r w:rsidR="009F7A9A" w:rsidRPr="00AF5A48">
        <w:rPr>
          <w:rFonts w:eastAsia="Calibri"/>
          <w:sz w:val="28"/>
          <w:szCs w:val="28"/>
        </w:rPr>
        <w:t>наличия виртуальных наград или таблиц лидеров, сколько от глубины проработки учебного сценария</w:t>
      </w:r>
      <w:r w:rsidR="00525C0D" w:rsidRPr="00AF5A48">
        <w:rPr>
          <w:rFonts w:eastAsia="Calibri"/>
          <w:sz w:val="28"/>
          <w:szCs w:val="28"/>
        </w:rPr>
        <w:t xml:space="preserve">, </w:t>
      </w:r>
      <w:r w:rsidR="00663C95" w:rsidRPr="00AF5A48">
        <w:rPr>
          <w:rFonts w:eastAsia="Calibri"/>
          <w:sz w:val="28"/>
          <w:szCs w:val="28"/>
        </w:rPr>
        <w:t xml:space="preserve">насколько ученику предоставлена возможность выбора, насколько тщательно фиксируются его успехи, создаются условия для достижения результата и оперативно </w:t>
      </w:r>
      <w:r w:rsidR="00663C95" w:rsidRPr="00AF5A48">
        <w:rPr>
          <w:rFonts w:eastAsia="Calibri"/>
          <w:sz w:val="28"/>
          <w:szCs w:val="28"/>
        </w:rPr>
        <w:lastRenderedPageBreak/>
        <w:t>корректируются его действия</w:t>
      </w:r>
      <w:r w:rsidR="00525C0D" w:rsidRPr="00AF5A48">
        <w:rPr>
          <w:rFonts w:eastAsia="Calibri"/>
          <w:sz w:val="28"/>
          <w:szCs w:val="28"/>
        </w:rPr>
        <w:t xml:space="preserve">, что подтверждает идею того, что </w:t>
      </w:r>
      <w:r w:rsidR="00663C95" w:rsidRPr="00AF5A48">
        <w:rPr>
          <w:rFonts w:eastAsia="Calibri"/>
          <w:sz w:val="28"/>
          <w:szCs w:val="28"/>
        </w:rPr>
        <w:t>значимость приобретает не столько игровая механика сама по себе, сколько её грамотное включение в выстроенную логику</w:t>
      </w:r>
      <w:r w:rsidR="00525C0D" w:rsidRPr="00AF5A48">
        <w:rPr>
          <w:rFonts w:eastAsia="Calibri"/>
          <w:sz w:val="28"/>
          <w:szCs w:val="28"/>
        </w:rPr>
        <w:t xml:space="preserve"> учебного процесса</w:t>
      </w:r>
      <w:r w:rsidR="00663C95" w:rsidRPr="00AF5A48">
        <w:rPr>
          <w:rFonts w:eastAsia="Calibri"/>
          <w:sz w:val="28"/>
          <w:szCs w:val="28"/>
        </w:rPr>
        <w:t>.</w:t>
      </w:r>
    </w:p>
    <w:p w14:paraId="0AC0A724" w14:textId="664FB374" w:rsidR="00663C95" w:rsidRPr="00AF5A48" w:rsidRDefault="00663C95" w:rsidP="00663C95">
      <w:pPr>
        <w:tabs>
          <w:tab w:val="left" w:pos="1080"/>
        </w:tabs>
        <w:ind w:firstLine="624"/>
        <w:jc w:val="both"/>
        <w:rPr>
          <w:rFonts w:eastAsia="Calibri"/>
          <w:sz w:val="28"/>
          <w:szCs w:val="28"/>
        </w:rPr>
      </w:pPr>
      <w:r w:rsidRPr="00AF5A48">
        <w:rPr>
          <w:rFonts w:eastAsia="Calibri"/>
          <w:sz w:val="28"/>
          <w:szCs w:val="28"/>
        </w:rPr>
        <w:t>В данном контексте важна не простая оцифровка учебных материалов, а их содержательная трансформация в формат мобильного обучения, дополненного игровыми приемами</w:t>
      </w:r>
      <w:r w:rsidR="00AF5A48">
        <w:rPr>
          <w:rFonts w:eastAsia="Calibri"/>
          <w:sz w:val="28"/>
          <w:szCs w:val="28"/>
        </w:rPr>
        <w:t>, так как п</w:t>
      </w:r>
      <w:r w:rsidRPr="00AF5A48">
        <w:rPr>
          <w:rFonts w:eastAsia="Calibri"/>
          <w:sz w:val="28"/>
          <w:szCs w:val="28"/>
        </w:rPr>
        <w:t>ривлекательность смартфона как инструмента обучения связана не только с его функциональными возможностями, но и с его влиянием на поведенческие паттерны пользователя</w:t>
      </w:r>
      <w:r w:rsidR="00AF5A48">
        <w:rPr>
          <w:rFonts w:eastAsia="Calibri"/>
          <w:sz w:val="28"/>
          <w:szCs w:val="28"/>
        </w:rPr>
        <w:t>, потому что м</w:t>
      </w:r>
      <w:r w:rsidRPr="00AF5A48">
        <w:rPr>
          <w:rFonts w:eastAsia="Calibri"/>
          <w:sz w:val="28"/>
          <w:szCs w:val="28"/>
        </w:rPr>
        <w:t>обильное устройство позволяет встроить учебный процесс в интервалы между повседневными делами, снижает порог входа в занятие и способствует формированию устойчивой привычки к регулярным занятиям.</w:t>
      </w:r>
    </w:p>
    <w:p w14:paraId="1BD8C581" w14:textId="77777777" w:rsidR="00663C95" w:rsidRPr="00663C95" w:rsidRDefault="00663C95" w:rsidP="00663C95">
      <w:pPr>
        <w:tabs>
          <w:tab w:val="left" w:pos="1080"/>
        </w:tabs>
        <w:ind w:firstLine="624"/>
        <w:jc w:val="both"/>
        <w:rPr>
          <w:rFonts w:eastAsia="Calibri"/>
          <w:sz w:val="28"/>
          <w:szCs w:val="28"/>
        </w:rPr>
      </w:pPr>
      <w:r w:rsidRPr="00AF5A48">
        <w:rPr>
          <w:rFonts w:eastAsia="Calibri"/>
          <w:sz w:val="28"/>
          <w:szCs w:val="28"/>
        </w:rPr>
        <w:t>Результаты исследований в области применения мобильного обучения (mobile learning) при преподавании математики свидетельствуют: использование мобильных технологий позволяет повысить интерес к дисциплине, сделать взаимодействие с контентом более гибким и увеличить периодичность обращения к учебным материалам.</w:t>
      </w:r>
      <w:r w:rsidRPr="00663C95">
        <w:rPr>
          <w:rFonts w:eastAsia="Calibri"/>
          <w:sz w:val="28"/>
          <w:szCs w:val="28"/>
        </w:rPr>
        <w:t xml:space="preserve"> Наибольший эффект достигается в тех случаях, когда процесс обучения разбит на последовательные, логически завершенные этапы и сопровождается постоянной обратной связью.</w:t>
      </w:r>
    </w:p>
    <w:p w14:paraId="483307A7" w14:textId="661DACE5" w:rsidR="009F7A9A" w:rsidRPr="00663C95" w:rsidRDefault="009F7A9A" w:rsidP="00663C95">
      <w:pPr>
        <w:tabs>
          <w:tab w:val="left" w:pos="1080"/>
        </w:tabs>
        <w:ind w:firstLine="624"/>
        <w:jc w:val="both"/>
        <w:rPr>
          <w:rFonts w:eastAsia="Calibri"/>
          <w:sz w:val="28"/>
          <w:szCs w:val="28"/>
        </w:rPr>
      </w:pPr>
      <w:r w:rsidRPr="00663C95">
        <w:rPr>
          <w:rFonts w:eastAsia="Calibri"/>
          <w:sz w:val="28"/>
          <w:szCs w:val="28"/>
        </w:rPr>
        <w:t>Анализ существующих цифровых решений показывает, что рынок уже предлагает ряд эффективных элементов, однако они далеко не всегда объединяются в целостную мотивационно-педагогическую систему. Так, приложение «ЕГЭ Математика 2026» позиционируется как офлайн-инструмент, включающий пробные варианты, теоретические материалы, видеоразборы и тренажёры для базового и профильного уровней. Его сильной стороной является чёткая предметная направленность и ориентация на экзаменационный формат. Вместе с тем модель взаимодействия, насколько можно судить по описанию, строится главным образом вокруг предоставления контента и тренировки, тогда как механизмы длительного удержания учащегося в режиме ежедневной подготовки выражены слабее.</w:t>
      </w:r>
    </w:p>
    <w:p w14:paraId="68B96F7A" w14:textId="77777777" w:rsidR="009F7A9A" w:rsidRPr="00663C95" w:rsidRDefault="009F7A9A" w:rsidP="00663C95">
      <w:pPr>
        <w:tabs>
          <w:tab w:val="left" w:pos="1080"/>
        </w:tabs>
        <w:ind w:firstLine="624"/>
        <w:jc w:val="both"/>
        <w:rPr>
          <w:rFonts w:eastAsia="Calibri"/>
          <w:sz w:val="28"/>
          <w:szCs w:val="28"/>
        </w:rPr>
      </w:pPr>
      <w:r w:rsidRPr="00663C95">
        <w:rPr>
          <w:rFonts w:eastAsia="Calibri"/>
          <w:sz w:val="28"/>
          <w:szCs w:val="28"/>
        </w:rPr>
        <w:t>Иную организацию учебного процесса демонстрирует платформа «Экзамер», где существенно усиливается роль игровых механизмов: квесты, накопление опыта, уровни, награды, бонусы, персонализированный план подготовки и элементы соревновательности задают общий формат взаимодействия. За счет подобной структуры подготовка к экзаменам приобретает более привлекательный и эмоционально вовлекающий характер, что помогает сгладить монотонность, обычно сопутствующую традиционному решению типовых тестовых заданий. Вместе с тем универсальный характер подобных платформ, ориентированных сразу на широкий спектр предметов и разных форм аттестации, не всегда дает возможность выстраивать настолько тонкий предметный микродизайн, который особенно значим при обучении математике. Для математической подготовки, как показывают наблюдения, принципиально важна дифференциация когнитивной нагрузки: от тренировки и частичной автоматизации базовых умений до развернутого многошагового логического рассуждения при работе со сложными задачами.</w:t>
      </w:r>
    </w:p>
    <w:p w14:paraId="2CF6850C" w14:textId="77777777" w:rsidR="009F7A9A" w:rsidRPr="00663C95" w:rsidRDefault="009F7A9A" w:rsidP="00663C95">
      <w:pPr>
        <w:tabs>
          <w:tab w:val="left" w:pos="1080"/>
        </w:tabs>
        <w:ind w:firstLine="624"/>
        <w:jc w:val="both"/>
        <w:rPr>
          <w:rFonts w:eastAsia="Calibri"/>
          <w:sz w:val="28"/>
          <w:szCs w:val="28"/>
        </w:rPr>
      </w:pPr>
      <w:r w:rsidRPr="00663C95">
        <w:rPr>
          <w:rFonts w:eastAsia="Calibri"/>
          <w:sz w:val="28"/>
          <w:szCs w:val="28"/>
        </w:rPr>
        <w:t xml:space="preserve">Определенным эталоном в осмыслении подобных подходов к </w:t>
      </w:r>
      <w:r w:rsidRPr="00663C95">
        <w:rPr>
          <w:rFonts w:eastAsia="Calibri"/>
          <w:sz w:val="28"/>
          <w:szCs w:val="28"/>
        </w:rPr>
        <w:lastRenderedPageBreak/>
        <w:t>геймифицированному обучению выступает модель Duolingo, которую сегодня можно отнести к числу наиболее узнаваемых массовых образовательных сервисов. Важность этой логики построения учебного продукта связана не только с использованием на первый взгляд простых игровых компонентов, но и с тщательно продуманной поведенческой архитектурой, через которую выстраивается траектория деятельности пользователя (в том числе, на уровне мельчайших интерфейсных решений). Ежедневные цели, серии непрерывных дней занятий, накопление очков, механизмы сохранения серии, короткие задания, мгновенная обратная связь, визуально понятный прогресс и регулярные напоминания формируют устойчивую учебную привычку. Для подготовки к ЕГЭ по математике подобная логика представляется особенно значимой, поскольку позволяет трансформировать подготовку из эпизодической активности в последовательную и ритмичную практику.</w:t>
      </w:r>
    </w:p>
    <w:p w14:paraId="085ADC27" w14:textId="77777777" w:rsidR="009F7A9A" w:rsidRPr="00663C95" w:rsidRDefault="009F7A9A" w:rsidP="00663C95">
      <w:pPr>
        <w:tabs>
          <w:tab w:val="left" w:pos="1080"/>
        </w:tabs>
        <w:ind w:firstLine="624"/>
        <w:jc w:val="both"/>
        <w:rPr>
          <w:rFonts w:eastAsia="Calibri"/>
          <w:sz w:val="28"/>
          <w:szCs w:val="28"/>
        </w:rPr>
      </w:pPr>
      <w:r w:rsidRPr="00663C95">
        <w:rPr>
          <w:rFonts w:eastAsia="Calibri"/>
          <w:sz w:val="28"/>
          <w:szCs w:val="28"/>
        </w:rPr>
        <w:t>Применительно к математике такая модель обладает дополнительными преимуществами. Во-первых, содержание данного предмета сравнительно легко структурируется в виде микротем: вычисления, уравнения, функции, вероятность, планиметрия, стереометрия, производная, текстовые задачи. Во-вторых, базовый и профильный уровни экзамена могут быть разведены по различным траекториям внутри одной цифровой среды: первая ориентируется на закрепление обязательного минимума и скорость выполнения типовых заданий, вторая – на поэтапное освоение более сложных задач. В-третьих, именно в математике чрезвычайно важно формировать у учащегося ощущение поступательного продвижения, поскольку неудачи в решении задач нередко интерпретируются школьниками не как естественная часть обучения, а как свидетельство собственной неспособности к предмету.</w:t>
      </w:r>
    </w:p>
    <w:p w14:paraId="20BC7FE3" w14:textId="77777777" w:rsidR="009F7A9A" w:rsidRPr="00663C95" w:rsidRDefault="009F7A9A" w:rsidP="00663C95">
      <w:pPr>
        <w:tabs>
          <w:tab w:val="left" w:pos="1080"/>
        </w:tabs>
        <w:ind w:firstLine="624"/>
        <w:jc w:val="both"/>
        <w:rPr>
          <w:rFonts w:eastAsia="Calibri"/>
          <w:sz w:val="28"/>
          <w:szCs w:val="28"/>
        </w:rPr>
      </w:pPr>
      <w:r w:rsidRPr="00663C95">
        <w:rPr>
          <w:rFonts w:eastAsia="Calibri"/>
          <w:sz w:val="28"/>
          <w:szCs w:val="28"/>
        </w:rPr>
        <w:t>С учётом этого наиболее перспективной выглядит модель мобильного приложения, где учебный процесс выстраивается как цепочка коротких сессий продолжительностью 5–10 минут. В структуру каждой сессии целесообразно включать небольшой фрагмент теории, затем серию практических заданий с нарастающей сложностью, а завершать её – оперативной обратной связью. При выполнении заданий могут начисляться очки опыта, открываться новые уровни, визуально фиксироваться продвижение по теме. Поддерживать устойчивый учебный ритм способны ежедневные цели и серии непрерывных занятий, а систему дополнительного эмоционального подкрепления формируют награды и достижения. Мини-игры на математическую логику, в свою очередь, можно использовать как инструмент низкопорогового входа в деятельность: они позволяют мягко переводить обучающегося от игровой активности к более содержательной и сложной учебной задаче.</w:t>
      </w:r>
    </w:p>
    <w:p w14:paraId="7A82F862" w14:textId="77777777" w:rsidR="009F7A9A" w:rsidRPr="00663C95" w:rsidRDefault="009F7A9A" w:rsidP="00663C95">
      <w:pPr>
        <w:tabs>
          <w:tab w:val="left" w:pos="1080"/>
        </w:tabs>
        <w:ind w:firstLine="624"/>
        <w:jc w:val="both"/>
        <w:rPr>
          <w:rFonts w:eastAsia="Calibri"/>
          <w:sz w:val="28"/>
          <w:szCs w:val="28"/>
          <w:highlight w:val="yellow"/>
        </w:rPr>
      </w:pPr>
      <w:r w:rsidRPr="00663C95">
        <w:rPr>
          <w:rFonts w:eastAsia="Calibri"/>
          <w:sz w:val="28"/>
          <w:szCs w:val="28"/>
        </w:rPr>
        <w:t xml:space="preserve">Ключевым условием эффективности выступает недопущение подмены образовательного ядра развлекательными приёмами. Сведение цифрового инструмента к механике начисления очков, соревновательным таблицам и внешнему вознаграждению порождает краткосрочный мотивационный всплеск, быстро угасающий согласно практическим наблюдениям. Оптимальной архитектурой является органичное включение игровой механики в целостную дидактическую систему: адаптивную регулировку сложности, систематический </w:t>
      </w:r>
      <w:r w:rsidRPr="00663C95">
        <w:rPr>
          <w:rFonts w:eastAsia="Calibri"/>
          <w:sz w:val="28"/>
          <w:szCs w:val="28"/>
        </w:rPr>
        <w:lastRenderedPageBreak/>
        <w:t>возврат к проблемным разделам, чередование концептуальных и прикладных модулей, аналитику распространённых недочётов и планомерное нарастание требований. Подобная интеграция катализирует смещение от экзогенных побудителей к эндогенной учебной заинтересованности – обучающийся взаимодействует с платформой не столько в расчёте на поощрения, сколько ради ощущения последовательного и осознанного овладения предметным содержанием.</w:t>
      </w:r>
    </w:p>
    <w:p w14:paraId="0D7FCE67" w14:textId="77777777" w:rsidR="009F7A9A" w:rsidRPr="00663C95" w:rsidRDefault="009F7A9A" w:rsidP="00663C95">
      <w:pPr>
        <w:tabs>
          <w:tab w:val="left" w:pos="1080"/>
        </w:tabs>
        <w:ind w:firstLine="624"/>
        <w:jc w:val="both"/>
        <w:rPr>
          <w:rFonts w:eastAsia="Calibri"/>
          <w:sz w:val="28"/>
          <w:szCs w:val="28"/>
        </w:rPr>
      </w:pPr>
      <w:r w:rsidRPr="00663C95">
        <w:rPr>
          <w:rFonts w:eastAsia="Calibri"/>
          <w:sz w:val="28"/>
          <w:szCs w:val="28"/>
        </w:rPr>
        <w:t>Итак, вопрос подготовки к ЕГЭ по математике обусловлен не только повышенной сложностью экзаменационного материала, но и выраженным дефицитом устойчивой учебной мотивации. Существующие цифровые продукты частично решают задачу обеспечения доступа к учебным материалам, однако далеко не всегда способствуют формированию долгосрочной привычки к регулярным занятиям. Следовательно, наибольший потенциал имеет не просто цифровой ресурс с набором заданий, а мобильная образовательная среда, в которой механики геймификации подчинены педагогической логике и направлены на поддержание систематической учебной активности. В условиях возрастания роли самостоятельной подготовки именно такой формат может стать одним из наиболее результативных инструментов повышения эффективности подготовки к ЕГЭ по математике.</w:t>
      </w:r>
    </w:p>
    <w:p w14:paraId="7B1DF033" w14:textId="77777777" w:rsidR="009F7A9A" w:rsidRDefault="009F7A9A" w:rsidP="009F7A9A">
      <w:pPr>
        <w:tabs>
          <w:tab w:val="left" w:pos="1080"/>
        </w:tabs>
        <w:jc w:val="both"/>
        <w:rPr>
          <w:rFonts w:eastAsia="Calibri"/>
          <w:sz w:val="28"/>
          <w:szCs w:val="28"/>
        </w:rPr>
      </w:pPr>
    </w:p>
    <w:p w14:paraId="4694C9DD" w14:textId="77777777" w:rsidR="009F7A9A" w:rsidRPr="000766CD" w:rsidRDefault="009F7A9A" w:rsidP="009F7A9A">
      <w:pPr>
        <w:tabs>
          <w:tab w:val="left" w:pos="1080"/>
        </w:tabs>
        <w:jc w:val="both"/>
        <w:rPr>
          <w:rFonts w:eastAsia="Calibri"/>
          <w:b/>
          <w:sz w:val="28"/>
          <w:szCs w:val="28"/>
        </w:rPr>
      </w:pPr>
      <w:r w:rsidRPr="000766CD">
        <w:rPr>
          <w:rFonts w:eastAsia="Calibri"/>
          <w:b/>
          <w:sz w:val="28"/>
          <w:szCs w:val="28"/>
        </w:rPr>
        <w:t>СПИСОК ИСПОЛЬЗОВАННЫХ ИСТОЧНИКОВ</w:t>
      </w:r>
    </w:p>
    <w:p w14:paraId="55110E82" w14:textId="77777777" w:rsidR="009F7A9A" w:rsidRDefault="009F7A9A" w:rsidP="009F7A9A">
      <w:pPr>
        <w:tabs>
          <w:tab w:val="left" w:pos="1080"/>
        </w:tabs>
        <w:jc w:val="both"/>
        <w:rPr>
          <w:rFonts w:eastAsia="Calibri"/>
          <w:sz w:val="28"/>
          <w:szCs w:val="28"/>
        </w:rPr>
      </w:pPr>
    </w:p>
    <w:p w14:paraId="0A66684C" w14:textId="77777777" w:rsidR="009F7A9A" w:rsidRDefault="009F7A9A" w:rsidP="009F7A9A">
      <w:pPr>
        <w:pStyle w:val="a4"/>
        <w:widowControl/>
        <w:numPr>
          <w:ilvl w:val="0"/>
          <w:numId w:val="2"/>
        </w:numPr>
        <w:tabs>
          <w:tab w:val="left" w:pos="1080"/>
        </w:tabs>
        <w:autoSpaceDE/>
        <w:autoSpaceDN/>
        <w:ind w:right="0"/>
        <w:contextualSpacing/>
        <w:jc w:val="both"/>
        <w:rPr>
          <w:rFonts w:eastAsia="Calibri"/>
          <w:sz w:val="28"/>
          <w:szCs w:val="28"/>
        </w:rPr>
      </w:pPr>
      <w:r w:rsidRPr="000766CD">
        <w:rPr>
          <w:rFonts w:eastAsia="Calibri"/>
          <w:sz w:val="28"/>
          <w:szCs w:val="28"/>
        </w:rPr>
        <w:t>Ваганова Я.В., Вершинина С.В. Применение онлайн-платформ в процессе обучения информатике //Математическое и информационное моделирование: материалы Всероссийской конференции молодых ученых. Вып. 23.—Тюмень, 2025. – ТюмГУ-Press, 2025. – С. 378-384.</w:t>
      </w:r>
    </w:p>
    <w:p w14:paraId="15BBE1A3" w14:textId="77777777" w:rsidR="009F7A9A" w:rsidRDefault="009F7A9A" w:rsidP="009F7A9A">
      <w:pPr>
        <w:pStyle w:val="a4"/>
        <w:widowControl/>
        <w:numPr>
          <w:ilvl w:val="0"/>
          <w:numId w:val="2"/>
        </w:numPr>
        <w:tabs>
          <w:tab w:val="left" w:pos="1080"/>
        </w:tabs>
        <w:autoSpaceDE/>
        <w:autoSpaceDN/>
        <w:ind w:right="0"/>
        <w:contextualSpacing/>
        <w:jc w:val="both"/>
        <w:rPr>
          <w:rFonts w:eastAsia="Calibri"/>
          <w:sz w:val="28"/>
          <w:szCs w:val="28"/>
        </w:rPr>
      </w:pPr>
      <w:r w:rsidRPr="000766CD">
        <w:rPr>
          <w:rFonts w:eastAsia="Calibri"/>
          <w:sz w:val="28"/>
          <w:szCs w:val="28"/>
        </w:rPr>
        <w:t>Мамиконян К.Р. Использование цифровых технологий в подготовке к ОГЭ по математике //В 88 Высокопроизводительные вычисления для решения. – С. 280-285.</w:t>
      </w:r>
    </w:p>
    <w:p w14:paraId="63CBDC44" w14:textId="77777777" w:rsidR="009F7A9A" w:rsidRDefault="009F7A9A" w:rsidP="009F7A9A">
      <w:pPr>
        <w:pStyle w:val="a4"/>
        <w:widowControl/>
        <w:numPr>
          <w:ilvl w:val="0"/>
          <w:numId w:val="2"/>
        </w:numPr>
        <w:tabs>
          <w:tab w:val="left" w:pos="1080"/>
        </w:tabs>
        <w:autoSpaceDE/>
        <w:autoSpaceDN/>
        <w:ind w:right="0"/>
        <w:contextualSpacing/>
        <w:jc w:val="both"/>
        <w:rPr>
          <w:rFonts w:eastAsia="Calibri"/>
          <w:sz w:val="28"/>
          <w:szCs w:val="28"/>
        </w:rPr>
      </w:pPr>
      <w:r w:rsidRPr="000766CD">
        <w:rPr>
          <w:rFonts w:eastAsia="Calibri"/>
          <w:sz w:val="28"/>
          <w:szCs w:val="28"/>
        </w:rPr>
        <w:t>Пушкарева Т.П., Титовская Н.В., Титовский С.Н. Мобильные технологии в обучении математике //Открытое образование. – 2024. – Т. 28. – №. 3. – С. 35-45.</w:t>
      </w:r>
    </w:p>
    <w:p w14:paraId="1ECE036F" w14:textId="77777777" w:rsidR="009F7A9A" w:rsidRDefault="009F7A9A" w:rsidP="009F7A9A">
      <w:pPr>
        <w:pStyle w:val="a4"/>
        <w:widowControl/>
        <w:numPr>
          <w:ilvl w:val="0"/>
          <w:numId w:val="2"/>
        </w:numPr>
        <w:tabs>
          <w:tab w:val="left" w:pos="1080"/>
        </w:tabs>
        <w:autoSpaceDE/>
        <w:autoSpaceDN/>
        <w:ind w:right="0"/>
        <w:contextualSpacing/>
        <w:jc w:val="both"/>
        <w:rPr>
          <w:rFonts w:eastAsia="Calibri"/>
          <w:sz w:val="28"/>
          <w:szCs w:val="28"/>
        </w:rPr>
      </w:pPr>
      <w:r w:rsidRPr="000766CD">
        <w:rPr>
          <w:rFonts w:eastAsia="Calibri"/>
          <w:sz w:val="28"/>
          <w:szCs w:val="28"/>
        </w:rPr>
        <w:t>Титова В.Н., Орлова О.В., Щенников С.А. Геймификация как средство повышения эффективности процесса обучения в высших учебных заведениях //НАУЧНЫЕ ТРУДЫ Северо-Западного института управления РАНХиГС. – 2025. – С. 270-277.</w:t>
      </w:r>
    </w:p>
    <w:p w14:paraId="60666DEC" w14:textId="77777777" w:rsidR="009F7A9A" w:rsidRPr="000766CD" w:rsidRDefault="009F7A9A" w:rsidP="009F7A9A">
      <w:pPr>
        <w:pStyle w:val="a4"/>
        <w:widowControl/>
        <w:numPr>
          <w:ilvl w:val="0"/>
          <w:numId w:val="2"/>
        </w:numPr>
        <w:tabs>
          <w:tab w:val="left" w:pos="1080"/>
        </w:tabs>
        <w:autoSpaceDE/>
        <w:autoSpaceDN/>
        <w:ind w:right="0"/>
        <w:contextualSpacing/>
        <w:jc w:val="both"/>
        <w:rPr>
          <w:rFonts w:eastAsia="Calibri"/>
          <w:sz w:val="28"/>
          <w:szCs w:val="28"/>
        </w:rPr>
      </w:pPr>
      <w:r w:rsidRPr="000766CD">
        <w:rPr>
          <w:rFonts w:eastAsia="Calibri"/>
          <w:sz w:val="28"/>
          <w:szCs w:val="28"/>
        </w:rPr>
        <w:t>Шамрай Л.И., Буряк Е.С. Геймификация образовательного процесса как инструмент повышения мотивации обучающихся //ББК 74.58 я43. – С. 102-108.</w:t>
      </w:r>
    </w:p>
    <w:p w14:paraId="7B52A3EE" w14:textId="130F4039" w:rsidR="000D2E0D" w:rsidRDefault="000D2E0D">
      <w:pPr>
        <w:pStyle w:val="a3"/>
        <w:spacing w:line="321" w:lineRule="exact"/>
        <w:ind w:firstLine="0"/>
      </w:pPr>
    </w:p>
    <w:sectPr w:rsidR="000D2E0D" w:rsidSect="009F7A9A">
      <w:pgSz w:w="11910" w:h="16840"/>
      <w:pgMar w:top="1060" w:right="992" w:bottom="1276"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039B"/>
    <w:multiLevelType w:val="hybridMultilevel"/>
    <w:tmpl w:val="FB28F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187B65"/>
    <w:multiLevelType w:val="hybridMultilevel"/>
    <w:tmpl w:val="3252FBE0"/>
    <w:lvl w:ilvl="0" w:tplc="4AF8718C">
      <w:start w:val="1"/>
      <w:numFmt w:val="decimal"/>
      <w:lvlText w:val="%1."/>
      <w:lvlJc w:val="left"/>
      <w:pPr>
        <w:ind w:left="253" w:hanging="705"/>
      </w:pPr>
      <w:rPr>
        <w:rFonts w:ascii="Times New Roman" w:eastAsia="Times New Roman" w:hAnsi="Times New Roman" w:cs="Times New Roman" w:hint="default"/>
        <w:b w:val="0"/>
        <w:bCs w:val="0"/>
        <w:i w:val="0"/>
        <w:iCs w:val="0"/>
        <w:spacing w:val="0"/>
        <w:w w:val="100"/>
        <w:sz w:val="28"/>
        <w:szCs w:val="28"/>
        <w:lang w:val="ru-RU" w:eastAsia="en-US" w:bidi="ar-SA"/>
      </w:rPr>
    </w:lvl>
    <w:lvl w:ilvl="1" w:tplc="8D461856">
      <w:numFmt w:val="bullet"/>
      <w:lvlText w:val="•"/>
      <w:lvlJc w:val="left"/>
      <w:pPr>
        <w:ind w:left="1226" w:hanging="705"/>
      </w:pPr>
      <w:rPr>
        <w:rFonts w:hint="default"/>
        <w:lang w:val="ru-RU" w:eastAsia="en-US" w:bidi="ar-SA"/>
      </w:rPr>
    </w:lvl>
    <w:lvl w:ilvl="2" w:tplc="1A106018">
      <w:numFmt w:val="bullet"/>
      <w:lvlText w:val="•"/>
      <w:lvlJc w:val="left"/>
      <w:pPr>
        <w:ind w:left="2192" w:hanging="705"/>
      </w:pPr>
      <w:rPr>
        <w:rFonts w:hint="default"/>
        <w:lang w:val="ru-RU" w:eastAsia="en-US" w:bidi="ar-SA"/>
      </w:rPr>
    </w:lvl>
    <w:lvl w:ilvl="3" w:tplc="DAE895F6">
      <w:numFmt w:val="bullet"/>
      <w:lvlText w:val="•"/>
      <w:lvlJc w:val="left"/>
      <w:pPr>
        <w:ind w:left="3158" w:hanging="705"/>
      </w:pPr>
      <w:rPr>
        <w:rFonts w:hint="default"/>
        <w:lang w:val="ru-RU" w:eastAsia="en-US" w:bidi="ar-SA"/>
      </w:rPr>
    </w:lvl>
    <w:lvl w:ilvl="4" w:tplc="AD005FBA">
      <w:numFmt w:val="bullet"/>
      <w:lvlText w:val="•"/>
      <w:lvlJc w:val="left"/>
      <w:pPr>
        <w:ind w:left="4124" w:hanging="705"/>
      </w:pPr>
      <w:rPr>
        <w:rFonts w:hint="default"/>
        <w:lang w:val="ru-RU" w:eastAsia="en-US" w:bidi="ar-SA"/>
      </w:rPr>
    </w:lvl>
    <w:lvl w:ilvl="5" w:tplc="DD34A418">
      <w:numFmt w:val="bullet"/>
      <w:lvlText w:val="•"/>
      <w:lvlJc w:val="left"/>
      <w:pPr>
        <w:ind w:left="5090" w:hanging="705"/>
      </w:pPr>
      <w:rPr>
        <w:rFonts w:hint="default"/>
        <w:lang w:val="ru-RU" w:eastAsia="en-US" w:bidi="ar-SA"/>
      </w:rPr>
    </w:lvl>
    <w:lvl w:ilvl="6" w:tplc="95123FA6">
      <w:numFmt w:val="bullet"/>
      <w:lvlText w:val="•"/>
      <w:lvlJc w:val="left"/>
      <w:pPr>
        <w:ind w:left="6056" w:hanging="705"/>
      </w:pPr>
      <w:rPr>
        <w:rFonts w:hint="default"/>
        <w:lang w:val="ru-RU" w:eastAsia="en-US" w:bidi="ar-SA"/>
      </w:rPr>
    </w:lvl>
    <w:lvl w:ilvl="7" w:tplc="367820E8">
      <w:numFmt w:val="bullet"/>
      <w:lvlText w:val="•"/>
      <w:lvlJc w:val="left"/>
      <w:pPr>
        <w:ind w:left="7022" w:hanging="705"/>
      </w:pPr>
      <w:rPr>
        <w:rFonts w:hint="default"/>
        <w:lang w:val="ru-RU" w:eastAsia="en-US" w:bidi="ar-SA"/>
      </w:rPr>
    </w:lvl>
    <w:lvl w:ilvl="8" w:tplc="A664CCDC">
      <w:numFmt w:val="bullet"/>
      <w:lvlText w:val="•"/>
      <w:lvlJc w:val="left"/>
      <w:pPr>
        <w:ind w:left="7988" w:hanging="705"/>
      </w:pPr>
      <w:rPr>
        <w:rFonts w:hint="default"/>
        <w:lang w:val="ru-RU" w:eastAsia="en-US" w:bidi="ar-SA"/>
      </w:rPr>
    </w:lvl>
  </w:abstractNum>
  <w:num w:numId="1" w16cid:durableId="1826507233">
    <w:abstractNumId w:val="1"/>
  </w:num>
  <w:num w:numId="2" w16cid:durableId="52135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0D"/>
    <w:rsid w:val="000D2E0D"/>
    <w:rsid w:val="00525C0D"/>
    <w:rsid w:val="0054287C"/>
    <w:rsid w:val="00663C95"/>
    <w:rsid w:val="006C5A64"/>
    <w:rsid w:val="008F1C42"/>
    <w:rsid w:val="00965F29"/>
    <w:rsid w:val="009F7A9A"/>
    <w:rsid w:val="00A93A99"/>
    <w:rsid w:val="00AF5A48"/>
    <w:rsid w:val="00EA5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E987A"/>
  <w15:docId w15:val="{E06127BC-D963-40BD-9B16-7EA511D63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21" w:lineRule="exact"/>
      <w:ind w:left="253"/>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3" w:firstLine="710"/>
      <w:jc w:val="both"/>
    </w:pPr>
    <w:rPr>
      <w:sz w:val="28"/>
      <w:szCs w:val="28"/>
    </w:rPr>
  </w:style>
  <w:style w:type="paragraph" w:styleId="a4">
    <w:name w:val="List Paragraph"/>
    <w:basedOn w:val="a"/>
    <w:uiPriority w:val="34"/>
    <w:qFormat/>
    <w:pPr>
      <w:ind w:left="253" w:right="588" w:firstLine="71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idrik@sfedu.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1622</Words>
  <Characters>9247</Characters>
  <Application>Microsoft Office Word</Application>
  <DocSecurity>0</DocSecurity>
  <Lines>77</Lines>
  <Paragraphs>21</Paragraphs>
  <ScaleCrop>false</ScaleCrop>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Фидрик Юлия Павловна</cp:lastModifiedBy>
  <cp:revision>2</cp:revision>
  <dcterms:created xsi:type="dcterms:W3CDTF">2026-03-22T17:03:00Z</dcterms:created>
  <dcterms:modified xsi:type="dcterms:W3CDTF">2026-03-22T17:03:00Z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2026-03-19T00:00:00Z</vt:filetime>
  </property>
  <property fmtid="{D5CDD505-2E9C-101B-9397-08002B2CF9AE}" pid="3" name="Creator">
    <vt:lpwstr>Microsoft Word</vt:lpwstr>
  </property>
  <property fmtid="{D5CDD505-2E9C-101B-9397-08002B2CF9AE}" pid="4" name="LastSaved">
    <vt:filetime>2026-03-19T00:00:00Z</vt:filetime>
  </property>
</Properties>
</file>